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rPr>
          <w:rFonts w:ascii="Times New Roman" w:hAnsi="Times New Roman"/>
          <w:sz w:val="20"/>
        </w:rPr>
      </w:pPr>
      <w:bookmarkStart w:id="29" w:name="_GoBack"/>
      <w:bookmarkEnd w:id="29"/>
      <w:r>
        <w:rPr>
          <w:rFonts w:ascii="Times New Roman" w:hAnsi="Times New Roman"/>
          <w:sz w:val="20"/>
        </w:rPr>
        <mc:AlternateContent>
          <mc:Choice Requires="wps">
            <w:drawing>
              <wp:anchor distT="0" distB="0" distL="0" distR="0" simplePos="0" relativeHeight="251659264" behindDoc="0" locked="0" layoutInCell="0" allowOverlap="1">
                <wp:simplePos x="0" y="0"/>
                <wp:positionH relativeFrom="page">
                  <wp:posOffset>0</wp:posOffset>
                </wp:positionH>
                <wp:positionV relativeFrom="page">
                  <wp:posOffset>0</wp:posOffset>
                </wp:positionV>
                <wp:extent cx="601345" cy="10696575"/>
                <wp:effectExtent l="0" t="0" r="0" b="0"/>
                <wp:wrapNone/>
                <wp:docPr id="1" name="Rectangle 7"/>
                <wp:cNvGraphicFramePr/>
                <a:graphic xmlns:a="http://schemas.openxmlformats.org/drawingml/2006/main">
                  <a:graphicData uri="http://schemas.microsoft.com/office/word/2010/wordprocessingShape">
                    <wps:wsp>
                      <wps:cNvSpPr/>
                      <wps:spPr>
                        <a:xfrm>
                          <a:off x="0" y="0"/>
                          <a:ext cx="601200" cy="10696680"/>
                        </a:xfrm>
                        <a:prstGeom prst="rect">
                          <a:avLst/>
                        </a:prstGeom>
                        <a:solidFill>
                          <a:srgbClr val="FF3131"/>
                        </a:solidFill>
                        <a:ln w="0">
                          <a:noFill/>
                        </a:ln>
                      </wps:spPr>
                      <wps:style>
                        <a:lnRef idx="0">
                          <a:scrgbClr r="0" g="0" b="0"/>
                        </a:lnRef>
                        <a:fillRef idx="0">
                          <a:scrgbClr r="0" g="0" b="0"/>
                        </a:fillRef>
                        <a:effectRef idx="0">
                          <a:scrgbClr r="0" g="0" b="0"/>
                        </a:effectRef>
                        <a:fontRef idx="minor"/>
                      </wps:style>
                      <wps:txbx>
                        <w:txbxContent>
                          <w:p>
                            <w:pPr>
                              <w:jc w:val="center"/>
                            </w:pPr>
                          </w:p>
                        </w:txbxContent>
                      </wps:txbx>
                      <wps:bodyPr/>
                    </wps:wsp>
                  </a:graphicData>
                </a:graphic>
              </wp:anchor>
            </w:drawing>
          </mc:Choice>
          <mc:Fallback>
            <w:pict>
              <v:rect id="Rectangle 7" o:spid="_x0000_s1026" o:spt="1" style="position:absolute;left:0pt;margin-left:0pt;margin-top:0pt;height:842.25pt;width:47.35pt;mso-position-horizontal-relative:page;mso-position-vertical-relative:page;z-index:251659264;mso-width-relative:page;mso-height-relative:page;" fillcolor="#FF3131" filled="t" stroked="f" coordsize="21600,21600" o:allowincell="f" o:gfxdata="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1Yfct0wAAAAUBAAAP&#10;AAAAAAAAAAEAIAAAACIAAABkcnMvZG93bnJldi54bWxQSwECFAAUAAAACACHTuJAdUVySqsBAABo&#10;AwAADgAAAAAAAAABACAAAAAiAQAAZHJzL2Uyb0RvYy54bWxQSwUGAAAAAAYABgBZAQAAPwUAAAAA&#10;">
                <v:fill on="t" focussize="0,0"/>
                <v:stroke on="f" weight="0pt"/>
                <v:imagedata o:title=""/>
                <o:lock v:ext="edit" aspectratio="f"/>
                <v:textbox>
                  <w:txbxContent>
                    <w:p>
                      <w:pPr>
                        <w:jc w:val="center"/>
                      </w:pPr>
                    </w:p>
                  </w:txbxContent>
                </v:textbox>
              </v:rect>
            </w:pict>
          </mc:Fallback>
        </mc:AlternateContent>
      </w:r>
      <w:r>
        <w:rPr>
          <w:rFonts w:ascii="Times New Roman" w:hAnsi="Times New Roman"/>
          <w:sz w:val="20"/>
        </w:rPr>
        <mc:AlternateContent>
          <mc:Choice Requires="wpg">
            <w:drawing>
              <wp:anchor distT="0" distB="0" distL="0" distR="0" simplePos="0" relativeHeight="251659264" behindDoc="1" locked="0" layoutInCell="0" allowOverlap="1">
                <wp:simplePos x="0" y="0"/>
                <wp:positionH relativeFrom="page">
                  <wp:posOffset>767080</wp:posOffset>
                </wp:positionH>
                <wp:positionV relativeFrom="page">
                  <wp:posOffset>0</wp:posOffset>
                </wp:positionV>
                <wp:extent cx="6795770" cy="10696575"/>
                <wp:effectExtent l="0" t="0" r="0" b="0"/>
                <wp:wrapNone/>
                <wp:docPr id="2" name="Group 8"/>
                <wp:cNvGraphicFramePr/>
                <a:graphic xmlns:a="http://schemas.openxmlformats.org/drawingml/2006/main">
                  <a:graphicData uri="http://schemas.microsoft.com/office/word/2010/wordprocessingGroup">
                    <wpg:wgp>
                      <wpg:cNvGrpSpPr/>
                      <wpg:grpSpPr>
                        <a:xfrm>
                          <a:off x="0" y="0"/>
                          <a:ext cx="6795720" cy="10696680"/>
                          <a:chOff x="0" y="0"/>
                          <a:chExt cx="6795720" cy="10696680"/>
                        </a:xfrm>
                      </wpg:grpSpPr>
                      <wps:wsp>
                        <wps:cNvPr id="3" name="Rectangle 16"/>
                        <wps:cNvSpPr/>
                        <wps:spPr>
                          <a:xfrm>
                            <a:off x="5017680" y="0"/>
                            <a:ext cx="1778040" cy="10696680"/>
                          </a:xfrm>
                          <a:prstGeom prst="rect">
                            <a:avLst/>
                          </a:prstGeom>
                          <a:solidFill>
                            <a:srgbClr val="252161">
                              <a:alpha val="10000"/>
                            </a:srgbClr>
                          </a:solidFill>
                          <a:ln w="0">
                            <a:noFill/>
                          </a:ln>
                        </wps:spPr>
                        <wps:style>
                          <a:lnRef idx="0">
                            <a:scrgbClr r="0" g="0" b="0"/>
                          </a:lnRef>
                          <a:fillRef idx="0">
                            <a:scrgbClr r="0" g="0" b="0"/>
                          </a:fillRef>
                          <a:effectRef idx="0">
                            <a:scrgbClr r="0" g="0" b="0"/>
                          </a:effectRef>
                          <a:fontRef idx="minor"/>
                        </wps:style>
                        <wps:bodyPr/>
                      </wps:wsp>
                      <wps:wsp>
                        <wps:cNvPr id="4" name="AutoShape 15"/>
                        <wps:cNvSpPr/>
                        <wps:spPr>
                          <a:xfrm>
                            <a:off x="2564280" y="0"/>
                            <a:ext cx="4231800" cy="3556800"/>
                          </a:xfrm>
                          <a:custGeom>
                            <a:avLst/>
                            <a:gdLst>
                              <a:gd name="textAreaLeft" fmla="*/ 0 w 2399040"/>
                              <a:gd name="textAreaRight" fmla="*/ 2400840 w 2399040"/>
                              <a:gd name="textAreaTop" fmla="*/ 0 h 2016360"/>
                              <a:gd name="textAreaBottom" fmla="*/ 2018160 h 2016360"/>
                            </a:gdLst>
                            <a:ahLst/>
                            <a:cxnLst/>
                            <a:rect l="textAreaLeft" t="textAreaTop" r="textAreaRight" b="textAreaBottom"/>
                            <a:pathLst>
                              <a:path w="6664" h="5606">
                                <a:moveTo>
                                  <a:pt x="6103" y="5108"/>
                                </a:moveTo>
                                <a:lnTo>
                                  <a:pt x="994" y="0"/>
                                </a:lnTo>
                                <a:lnTo>
                                  <a:pt x="0" y="0"/>
                                </a:lnTo>
                                <a:lnTo>
                                  <a:pt x="5605" y="5605"/>
                                </a:lnTo>
                                <a:lnTo>
                                  <a:pt x="6103" y="5108"/>
                                </a:lnTo>
                                <a:close/>
                                <a:moveTo>
                                  <a:pt x="6663" y="0"/>
                                </a:moveTo>
                                <a:lnTo>
                                  <a:pt x="4508" y="0"/>
                                </a:lnTo>
                                <a:lnTo>
                                  <a:pt x="6663" y="2155"/>
                                </a:lnTo>
                                <a:lnTo>
                                  <a:pt x="6663" y="0"/>
                                </a:lnTo>
                                <a:close/>
                              </a:path>
                            </a:pathLst>
                          </a:custGeom>
                          <a:solidFill>
                            <a:srgbClr val="FF904D"/>
                          </a:solidFill>
                          <a:ln w="0">
                            <a:noFill/>
                          </a:ln>
                        </wps:spPr>
                        <wps:style>
                          <a:lnRef idx="0">
                            <a:scrgbClr r="0" g="0" b="0"/>
                          </a:lnRef>
                          <a:fillRef idx="0">
                            <a:scrgbClr r="0" g="0" b="0"/>
                          </a:fillRef>
                          <a:effectRef idx="0">
                            <a:scrgbClr r="0" g="0" b="0"/>
                          </a:effectRef>
                          <a:fontRef idx="minor"/>
                        </wps:style>
                        <wps:bodyPr/>
                      </wps:wsp>
                      <wps:wsp>
                        <wps:cNvPr id="5" name="AutoShape 14"/>
                        <wps:cNvSpPr/>
                        <wps:spPr>
                          <a:xfrm>
                            <a:off x="4813920" y="0"/>
                            <a:ext cx="1981800" cy="3774960"/>
                          </a:xfrm>
                          <a:custGeom>
                            <a:avLst/>
                            <a:gdLst>
                              <a:gd name="textAreaLeft" fmla="*/ 0 w 1123560"/>
                              <a:gd name="textAreaRight" fmla="*/ 1125360 w 1123560"/>
                              <a:gd name="textAreaTop" fmla="*/ 0 h 2140200"/>
                              <a:gd name="textAreaBottom" fmla="*/ 2142000 h 2140200"/>
                            </a:gdLst>
                            <a:ahLst/>
                            <a:cxnLst/>
                            <a:rect l="textAreaLeft" t="textAreaTop" r="textAreaRight" b="textAreaBottom"/>
                            <a:pathLst>
                              <a:path w="3126" h="5950">
                                <a:moveTo>
                                  <a:pt x="3125" y="4341"/>
                                </a:moveTo>
                                <a:lnTo>
                                  <a:pt x="804" y="2020"/>
                                </a:lnTo>
                                <a:lnTo>
                                  <a:pt x="0" y="2824"/>
                                </a:lnTo>
                                <a:lnTo>
                                  <a:pt x="3125" y="5949"/>
                                </a:lnTo>
                                <a:lnTo>
                                  <a:pt x="3125" y="4341"/>
                                </a:lnTo>
                                <a:close/>
                                <a:moveTo>
                                  <a:pt x="3125" y="1325"/>
                                </a:moveTo>
                                <a:lnTo>
                                  <a:pt x="1800" y="0"/>
                                </a:lnTo>
                                <a:lnTo>
                                  <a:pt x="191" y="0"/>
                                </a:lnTo>
                                <a:lnTo>
                                  <a:pt x="3125" y="2934"/>
                                </a:lnTo>
                                <a:lnTo>
                                  <a:pt x="3125" y="1325"/>
                                </a:lnTo>
                                <a:close/>
                              </a:path>
                            </a:pathLst>
                          </a:custGeom>
                          <a:solidFill>
                            <a:srgbClr val="FF5757"/>
                          </a:solidFill>
                          <a:ln w="0">
                            <a:noFill/>
                          </a:ln>
                        </wps:spPr>
                        <wps:style>
                          <a:lnRef idx="0">
                            <a:scrgbClr r="0" g="0" b="0"/>
                          </a:lnRef>
                          <a:fillRef idx="0">
                            <a:scrgbClr r="0" g="0" b="0"/>
                          </a:fillRef>
                          <a:effectRef idx="0">
                            <a:scrgbClr r="0" g="0" b="0"/>
                          </a:effectRef>
                          <a:fontRef idx="minor"/>
                        </wps:style>
                        <wps:bodyPr/>
                      </wps:wsp>
                      <wps:wsp>
                        <wps:cNvPr id="6" name="Freeform 13"/>
                        <wps:cNvSpPr/>
                        <wps:spPr>
                          <a:xfrm>
                            <a:off x="3531240" y="0"/>
                            <a:ext cx="3194640" cy="2684160"/>
                          </a:xfrm>
                          <a:custGeom>
                            <a:avLst/>
                            <a:gdLst>
                              <a:gd name="textAreaLeft" fmla="*/ 0 w 1811160"/>
                              <a:gd name="textAreaRight" fmla="*/ 1812960 w 1811160"/>
                              <a:gd name="textAreaTop" fmla="*/ 0 h 1521720"/>
                              <a:gd name="textAreaBottom" fmla="*/ 1523520 h 1521720"/>
                            </a:gdLst>
                            <a:ahLst/>
                            <a:cxnLst/>
                            <a:rect l="textAreaLeft" t="textAreaTop" r="textAreaRight" b="textAreaBottom"/>
                            <a:pathLst>
                              <a:path w="5036" h="4232">
                                <a:moveTo>
                                  <a:pt x="0" y="0"/>
                                </a:moveTo>
                                <a:lnTo>
                                  <a:pt x="1608" y="0"/>
                                </a:lnTo>
                                <a:lnTo>
                                  <a:pt x="5035" y="3427"/>
                                </a:lnTo>
                                <a:lnTo>
                                  <a:pt x="4231" y="4231"/>
                                </a:lnTo>
                                <a:lnTo>
                                  <a:pt x="0" y="0"/>
                                </a:lnTo>
                                <a:close/>
                              </a:path>
                            </a:pathLst>
                          </a:custGeom>
                          <a:solidFill>
                            <a:srgbClr val="FF3131"/>
                          </a:solidFill>
                          <a:ln w="0">
                            <a:noFill/>
                          </a:ln>
                        </wps:spPr>
                        <wps:style>
                          <a:lnRef idx="0">
                            <a:scrgbClr r="0" g="0" b="0"/>
                          </a:lnRef>
                          <a:fillRef idx="0">
                            <a:scrgbClr r="0" g="0" b="0"/>
                          </a:fillRef>
                          <a:effectRef idx="0">
                            <a:scrgbClr r="0" g="0" b="0"/>
                          </a:effectRef>
                          <a:fontRef idx="minor"/>
                        </wps:style>
                        <wps:bodyPr/>
                      </wps:wsp>
                      <wps:wsp>
                        <wps:cNvPr id="7" name="AutoShape 12"/>
                        <wps:cNvSpPr/>
                        <wps:spPr>
                          <a:xfrm>
                            <a:off x="3448800" y="7862400"/>
                            <a:ext cx="3346560" cy="2833920"/>
                          </a:xfrm>
                          <a:custGeom>
                            <a:avLst/>
                            <a:gdLst>
                              <a:gd name="textAreaLeft" fmla="*/ 0 w 1897200"/>
                              <a:gd name="textAreaRight" fmla="*/ 1899000 w 1897200"/>
                              <a:gd name="textAreaTop" fmla="*/ 0 h 1606680"/>
                              <a:gd name="textAreaBottom" fmla="*/ 1608480 h 1606680"/>
                            </a:gdLst>
                            <a:ahLst/>
                            <a:cxnLst/>
                            <a:rect l="textAreaLeft" t="textAreaTop" r="textAreaRight" b="textAreaBottom"/>
                            <a:pathLst>
                              <a:path w="5275" h="4468">
                                <a:moveTo>
                                  <a:pt x="4871" y="404"/>
                                </a:moveTo>
                                <a:lnTo>
                                  <a:pt x="4467" y="0"/>
                                </a:lnTo>
                                <a:lnTo>
                                  <a:pt x="0" y="4467"/>
                                </a:lnTo>
                                <a:lnTo>
                                  <a:pt x="808" y="4467"/>
                                </a:lnTo>
                                <a:lnTo>
                                  <a:pt x="4871" y="404"/>
                                </a:lnTo>
                                <a:close/>
                                <a:moveTo>
                                  <a:pt x="5275" y="2854"/>
                                </a:moveTo>
                                <a:lnTo>
                                  <a:pt x="3662" y="4467"/>
                                </a:lnTo>
                                <a:lnTo>
                                  <a:pt x="5275" y="4467"/>
                                </a:lnTo>
                                <a:lnTo>
                                  <a:pt x="5275" y="2854"/>
                                </a:lnTo>
                                <a:close/>
                              </a:path>
                            </a:pathLst>
                          </a:custGeom>
                          <a:solidFill>
                            <a:srgbClr val="FF904D"/>
                          </a:solidFill>
                          <a:ln w="0">
                            <a:noFill/>
                          </a:ln>
                        </wps:spPr>
                        <wps:style>
                          <a:lnRef idx="0">
                            <a:scrgbClr r="0" g="0" b="0"/>
                          </a:lnRef>
                          <a:fillRef idx="0">
                            <a:scrgbClr r="0" g="0" b="0"/>
                          </a:fillRef>
                          <a:effectRef idx="0">
                            <a:scrgbClr r="0" g="0" b="0"/>
                          </a:effectRef>
                          <a:fontRef idx="minor"/>
                        </wps:style>
                        <wps:bodyPr/>
                      </wps:wsp>
                      <wps:wsp>
                        <wps:cNvPr id="8" name="AutoShape 11"/>
                        <wps:cNvSpPr/>
                        <wps:spPr>
                          <a:xfrm>
                            <a:off x="5218920" y="7717680"/>
                            <a:ext cx="1576800" cy="2978640"/>
                          </a:xfrm>
                          <a:custGeom>
                            <a:avLst/>
                            <a:gdLst>
                              <a:gd name="textAreaLeft" fmla="*/ 0 w 893880"/>
                              <a:gd name="textAreaRight" fmla="*/ 895680 w 893880"/>
                              <a:gd name="textAreaTop" fmla="*/ 0 h 1688760"/>
                              <a:gd name="textAreaBottom" fmla="*/ 1690560 h 1688760"/>
                            </a:gdLst>
                            <a:ahLst/>
                            <a:cxnLst/>
                            <a:rect l="textAreaLeft" t="textAreaTop" r="textAreaRight" b="textAreaBottom"/>
                            <a:pathLst>
                              <a:path w="2488" h="4696">
                                <a:moveTo>
                                  <a:pt x="2487" y="2450"/>
                                </a:moveTo>
                                <a:lnTo>
                                  <a:pt x="242" y="4695"/>
                                </a:lnTo>
                                <a:lnTo>
                                  <a:pt x="1548" y="4695"/>
                                </a:lnTo>
                                <a:lnTo>
                                  <a:pt x="2487" y="3756"/>
                                </a:lnTo>
                                <a:lnTo>
                                  <a:pt x="2487" y="2450"/>
                                </a:lnTo>
                                <a:close/>
                                <a:moveTo>
                                  <a:pt x="2487" y="0"/>
                                </a:moveTo>
                                <a:lnTo>
                                  <a:pt x="0" y="2487"/>
                                </a:lnTo>
                                <a:lnTo>
                                  <a:pt x="653" y="3140"/>
                                </a:lnTo>
                                <a:lnTo>
                                  <a:pt x="2487" y="1306"/>
                                </a:lnTo>
                                <a:lnTo>
                                  <a:pt x="2487" y="0"/>
                                </a:lnTo>
                                <a:close/>
                              </a:path>
                            </a:pathLst>
                          </a:custGeom>
                          <a:solidFill>
                            <a:srgbClr val="FF5757"/>
                          </a:solidFill>
                          <a:ln w="0">
                            <a:noFill/>
                          </a:ln>
                        </wps:spPr>
                        <wps:style>
                          <a:lnRef idx="0">
                            <a:scrgbClr r="0" g="0" b="0"/>
                          </a:lnRef>
                          <a:fillRef idx="0">
                            <a:scrgbClr r="0" g="0" b="0"/>
                          </a:fillRef>
                          <a:effectRef idx="0">
                            <a:scrgbClr r="0" g="0" b="0"/>
                          </a:effectRef>
                          <a:fontRef idx="minor"/>
                        </wps:style>
                        <wps:bodyPr/>
                      </wps:wsp>
                      <wps:wsp>
                        <wps:cNvPr id="9" name="Freeform 10"/>
                        <wps:cNvSpPr/>
                        <wps:spPr>
                          <a:xfrm>
                            <a:off x="4232160" y="8571960"/>
                            <a:ext cx="2540160" cy="2124720"/>
                          </a:xfrm>
                          <a:custGeom>
                            <a:avLst/>
                            <a:gdLst>
                              <a:gd name="textAreaLeft" fmla="*/ 0 w 1440000"/>
                              <a:gd name="textAreaRight" fmla="*/ 1441800 w 1440000"/>
                              <a:gd name="textAreaTop" fmla="*/ 0 h 1204560"/>
                              <a:gd name="textAreaBottom" fmla="*/ 1206360 h 1204560"/>
                            </a:gdLst>
                            <a:ahLst/>
                            <a:cxnLst/>
                            <a:rect l="textAreaLeft" t="textAreaTop" r="textAreaRight" b="textAreaBottom"/>
                            <a:pathLst>
                              <a:path w="4005" h="3351">
                                <a:moveTo>
                                  <a:pt x="0" y="3351"/>
                                </a:moveTo>
                                <a:lnTo>
                                  <a:pt x="1307" y="3351"/>
                                </a:lnTo>
                                <a:lnTo>
                                  <a:pt x="4004" y="653"/>
                                </a:lnTo>
                                <a:lnTo>
                                  <a:pt x="3351" y="0"/>
                                </a:lnTo>
                                <a:lnTo>
                                  <a:pt x="0" y="3351"/>
                                </a:lnTo>
                                <a:close/>
                              </a:path>
                            </a:pathLst>
                          </a:custGeom>
                          <a:solidFill>
                            <a:srgbClr val="FF3131"/>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0" name="Picture 9"/>
                          <pic:cNvPicPr/>
                        </pic:nvPicPr>
                        <pic:blipFill>
                          <a:blip r:embed="rId10"/>
                          <a:stretch>
                            <a:fillRect/>
                          </a:stretch>
                        </pic:blipFill>
                        <pic:spPr>
                          <a:xfrm>
                            <a:off x="0" y="934200"/>
                            <a:ext cx="3457440" cy="606600"/>
                          </a:xfrm>
                          <a:prstGeom prst="rect">
                            <a:avLst/>
                          </a:prstGeom>
                          <a:ln w="0">
                            <a:noFill/>
                          </a:ln>
                        </pic:spPr>
                      </pic:pic>
                    </wpg:wgp>
                  </a:graphicData>
                </a:graphic>
              </wp:anchor>
            </w:drawing>
          </mc:Choice>
          <mc:Fallback>
            <w:pict>
              <v:group id="Group 8" o:spid="_x0000_s1026" o:spt="203" style="position:absolute;left:0pt;margin-left:60.4pt;margin-top:0pt;height:842.25pt;width:535.1pt;mso-position-horizontal-relative:page;mso-position-vertical-relative:page;z-index:-251657216;mso-width-relative:page;mso-height-relative:page;" coordsize="6795720,10696680" o:allowincell="f" o:gfxdata="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">
                <o:lock v:ext="edit" aspectratio="f"/>
                <v:rect id="Rectangle 16" o:spid="_x0000_s1026" o:spt="1" style="position:absolute;left:5017680;top:0;height:10696680;width:1778040;" fillcolor="#252161" filled="t" stroked="f" coordsize="21600,21600" o:gfxdata="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GT60r4A&#10;AADaAAAADwAAAAAAAAABACAAAAAiAAAAZHJzL2Rvd25yZXYueG1sUEsBAhQAFAAAAAgAh07iQDMv&#10;BZ47AAAAOQAAABAAAAAAAAAAAQAgAAAADQEAAGRycy9zaGFwZXhtbC54bWxQSwUGAAAAAAYABgBb&#10;AQAAtwMAAAAA&#10;">
                  <v:fill on="t" opacity="6553f" focussize="0,0"/>
                  <v:stroke on="f" weight="0pt"/>
                  <v:imagedata o:title=""/>
                  <o:lock v:ext="edit" aspectratio="f"/>
                </v:rect>
                <v:shape id="AutoShape 15" o:spid="_x0000_s1026" o:spt="100" style="position:absolute;left:2564280;top:0;height:3556800;width:4231800;" fillcolor="#FF904D" filled="t" stroked="f" coordsize="6664,5606" o:gfxdata="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Ogf/LsAAADa&#10;AAAADwAAAAAAAAABACAAAAAiAAAAZHJzL2Rvd25yZXYueG1sUEsBAhQAFAAAAAgAh07iQDMvBZ47&#10;AAAAOQAAABAAAAAAAAAAAQAgAAAACgEAAGRycy9zaGFwZXhtbC54bWxQSwUGAAAAAAYABgBbAQAA&#10;tAMAAAAA&#10;" path="m6103,5108l994,0,0,0,5605,5605,6103,5108xm6663,0l4508,0,6663,2155,6663,0xe">
                  <v:fill on="t" focussize="0,0"/>
                  <v:stroke on="f" weight="0pt"/>
                  <v:imagedata o:title=""/>
                  <o:lock v:ext="edit" aspectratio="f"/>
                </v:shape>
                <v:shape id="AutoShape 14" o:spid="_x0000_s1026" o:spt="100" style="position:absolute;left:4813920;top:0;height:3774960;width:1981800;" fillcolor="#FF5757" filled="t" stroked="f" coordsize="3126,5950" o:gfxdata="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tyQW/&#10;AAAA2gAAAA8AAAAAAAAAAQAgAAAAIgAAAGRycy9kb3ducmV2LnhtbFBLAQIUABQAAAAIAIdO4kAz&#10;LwWeOwAAADkAAAAQAAAAAAAAAAEAIAAAAA4BAABkcnMvc2hhcGV4bWwueG1sUEsFBgAAAAAGAAYA&#10;WwEAALgDAAAAAA==&#10;" path="m3125,4341l804,2020,0,2824,3125,5949,3125,4341xm3125,1325l1800,0,191,0,3125,2934,3125,1325xe">
                  <v:fill on="t" focussize="0,0"/>
                  <v:stroke on="f" weight="0pt"/>
                  <v:imagedata o:title=""/>
                  <o:lock v:ext="edit" aspectratio="f"/>
                </v:shape>
                <v:shape id="Freeform 13" o:spid="_x0000_s1026" o:spt="100" style="position:absolute;left:3531240;top:0;height:2684160;width:3194640;" fillcolor="#FF3131" filled="t" stroked="f" coordsize="5036,4232" o:gfxdata="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G1YO7gAAADaAAAA&#10;DwAAAAAAAAABACAAAAAiAAAAZHJzL2Rvd25yZXYueG1sUEsBAhQAFAAAAAgAh07iQDMvBZ47AAAA&#10;OQAAABAAAAAAAAAAAQAgAAAABwEAAGRycy9zaGFwZXhtbC54bWxQSwUGAAAAAAYABgBbAQAAsQMA&#10;AAAA&#10;" path="m0,0l1608,0,5035,3427,4231,4231,0,0xe">
                  <v:fill on="t" focussize="0,0"/>
                  <v:stroke on="f" weight="0pt"/>
                  <v:imagedata o:title=""/>
                  <o:lock v:ext="edit" aspectratio="f"/>
                </v:shape>
                <v:shape id="AutoShape 12" o:spid="_x0000_s1026" o:spt="100" style="position:absolute;left:3448800;top:7862400;height:2833920;width:3346560;" fillcolor="#FF904D" filled="t" stroked="f" coordsize="5275,4468" o:gfxdata="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Zgpn0twAAANoAAAAP&#10;AAAAAAAAAAEAIAAAACIAAABkcnMvZG93bnJldi54bWxQSwECFAAUAAAACACHTuJAMy8FnjsAAAA5&#10;AAAAEAAAAAAAAAABACAAAAAGAQAAZHJzL3NoYXBleG1sLnhtbFBLBQYAAAAABgAGAFsBAACwAwAA&#10;AAA=&#10;" path="m4871,404l4467,0,0,4467,808,4467,4871,404xm5275,2854l3662,4467,5275,4467,5275,2854xe">
                  <v:fill on="t" focussize="0,0"/>
                  <v:stroke on="f" weight="0pt"/>
                  <v:imagedata o:title=""/>
                  <o:lock v:ext="edit" aspectratio="f"/>
                </v:shape>
                <v:shape id="AutoShape 11" o:spid="_x0000_s1026" o:spt="100" style="position:absolute;left:5218920;top:7717680;height:2978640;width:1576800;" fillcolor="#FF5757" filled="t" stroked="f" coordsize="2488,4696" o:gfxdata="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VUzmi2AAAA2gAAAA8A&#10;AAAAAAAAAQAgAAAAIgAAAGRycy9kb3ducmV2LnhtbFBLAQIUABQAAAAIAIdO4kAzLwWeOwAAADkA&#10;AAAQAAAAAAAAAAEAIAAAAAUBAABkcnMvc2hhcGV4bWwueG1sUEsFBgAAAAAGAAYAWwEAAK8DAAAA&#10;AA==&#10;" path="m2487,2450l242,4695,1548,4695,2487,3756,2487,2450xm2487,0l0,2487,653,3140,2487,1306,2487,0xe">
                  <v:fill on="t" focussize="0,0"/>
                  <v:stroke on="f" weight="0pt"/>
                  <v:imagedata o:title=""/>
                  <o:lock v:ext="edit" aspectratio="f"/>
                </v:shape>
                <v:shape id="Freeform 10" o:spid="_x0000_s1026" o:spt="100" style="position:absolute;left:4232160;top:8571960;height:2124720;width:2540160;" fillcolor="#FF3131" filled="t" stroked="f" coordsize="4005,3351" o:gfxdata="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EK+Y7sAAADa&#10;AAAADwAAAAAAAAABACAAAAAiAAAAZHJzL2Rvd25yZXYueG1sUEsBAhQAFAAAAAgAh07iQDMvBZ47&#10;AAAAOQAAABAAAAAAAAAAAQAgAAAACgEAAGRycy9zaGFwZXhtbC54bWxQSwUGAAAAAAYABgBbAQAA&#10;tAMAAAAA&#10;" path="m0,3351l1307,3351,4004,653,3351,0,0,3351xe">
                  <v:fill on="t" focussize="0,0"/>
                  <v:stroke on="f" weight="0pt"/>
                  <v:imagedata o:title=""/>
                  <o:lock v:ext="edit" aspectratio="f"/>
                </v:shape>
                <v:shape id="Picture 9" o:spid="_x0000_s1026" o:spt="75" type="#_x0000_t75" style="position:absolute;left:0;top:934200;height:606600;width:3457440;" filled="f" o:preferrelative="t" stroked="f" coordsize="21600,21600" o:gfxdata="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3kbg74A&#10;AADbAAAADwAAAAAAAAABACAAAAAiAAAAZHJzL2Rvd25yZXYueG1sUEsBAhQAFAAAAAgAh07iQDMv&#10;BZ47AAAAOQAAABAAAAAAAAAAAQAgAAAADQEAAGRycy9zaGFwZXhtbC54bWxQSwUGAAAAAAYABgBb&#10;AQAAtwMAAAAA&#10;">
                  <v:fill on="f" focussize="0,0"/>
                  <v:stroke on="f" weight="0pt"/>
                  <v:imagedata r:id="rId10" o:title=""/>
                  <o:lock v:ext="edit" aspectratio="f"/>
                </v:shape>
              </v:group>
            </w:pict>
          </mc:Fallback>
        </mc:AlternateContent>
      </w:r>
    </w:p>
    <w:p>
      <w:pPr>
        <w:pStyle w:val="9"/>
        <w:rPr>
          <w:rFonts w:ascii="Times New Roman" w:hAnsi="Times New Roman"/>
          <w:sz w:val="20"/>
        </w:rPr>
      </w:pPr>
    </w:p>
    <w:p>
      <w:pPr>
        <w:pStyle w:val="9"/>
        <w:rPr>
          <w:rFonts w:ascii="Times New Roman" w:hAnsi="Times New Roman"/>
          <w:sz w:val="20"/>
        </w:rPr>
      </w:pPr>
    </w:p>
    <w:p>
      <w:pPr>
        <w:pStyle w:val="9"/>
        <w:rPr>
          <w:rFonts w:ascii="Times New Roman" w:hAnsi="Times New Roman"/>
          <w:sz w:val="20"/>
        </w:rPr>
      </w:pPr>
    </w:p>
    <w:p>
      <w:pPr>
        <w:pStyle w:val="9"/>
        <w:rPr>
          <w:rFonts w:ascii="Times New Roman" w:hAnsi="Times New Roman"/>
          <w:sz w:val="20"/>
        </w:rPr>
      </w:pPr>
    </w:p>
    <w:p>
      <w:pPr>
        <w:pStyle w:val="9"/>
        <w:rPr>
          <w:rFonts w:ascii="Times New Roman" w:hAnsi="Times New Roman"/>
          <w:sz w:val="20"/>
        </w:rPr>
      </w:pPr>
    </w:p>
    <w:p>
      <w:pPr>
        <w:pStyle w:val="9"/>
        <w:rPr>
          <w:rFonts w:ascii="Times New Roman" w:hAnsi="Times New Roman"/>
          <w:sz w:val="20"/>
        </w:rPr>
      </w:pPr>
    </w:p>
    <w:p>
      <w:pPr>
        <w:pStyle w:val="9"/>
        <w:rPr>
          <w:rFonts w:ascii="Times New Roman" w:hAnsi="Times New Roman"/>
          <w:sz w:val="20"/>
        </w:rPr>
      </w:pPr>
    </w:p>
    <w:p>
      <w:pPr>
        <w:pStyle w:val="9"/>
        <w:rPr>
          <w:rFonts w:ascii="Times New Roman" w:hAnsi="Times New Roman"/>
          <w:sz w:val="20"/>
        </w:rPr>
      </w:pPr>
    </w:p>
    <w:p>
      <w:pPr>
        <w:pStyle w:val="9"/>
        <w:rPr>
          <w:rFonts w:ascii="Times New Roman" w:hAnsi="Times New Roman"/>
          <w:sz w:val="20"/>
        </w:rPr>
      </w:pPr>
    </w:p>
    <w:p>
      <w:pPr>
        <w:pStyle w:val="9"/>
        <w:rPr>
          <w:rFonts w:ascii="Times New Roman" w:hAnsi="Times New Roman"/>
          <w:sz w:val="20"/>
        </w:rPr>
      </w:pPr>
    </w:p>
    <w:p>
      <w:pPr>
        <w:pStyle w:val="9"/>
        <w:rPr>
          <w:rFonts w:ascii="Times New Roman" w:hAnsi="Times New Roman"/>
          <w:sz w:val="20"/>
        </w:rPr>
      </w:pPr>
    </w:p>
    <w:p>
      <w:pPr>
        <w:pStyle w:val="9"/>
        <w:rPr>
          <w:rFonts w:ascii="Times New Roman" w:hAnsi="Times New Roman"/>
          <w:sz w:val="20"/>
        </w:rPr>
      </w:pPr>
    </w:p>
    <w:p>
      <w:pPr>
        <w:pStyle w:val="9"/>
        <w:rPr>
          <w:rFonts w:ascii="Times New Roman" w:hAnsi="Times New Roman"/>
          <w:sz w:val="20"/>
        </w:rPr>
      </w:pPr>
    </w:p>
    <w:p>
      <w:pPr>
        <w:pStyle w:val="9"/>
        <w:rPr>
          <w:rFonts w:ascii="Times New Roman" w:hAnsi="Times New Roman"/>
          <w:sz w:val="20"/>
        </w:rPr>
      </w:pPr>
    </w:p>
    <w:p>
      <w:pPr>
        <w:pStyle w:val="9"/>
        <w:rPr>
          <w:rFonts w:ascii="Times New Roman" w:hAnsi="Times New Roman"/>
          <w:sz w:val="20"/>
        </w:rPr>
      </w:pPr>
    </w:p>
    <w:p>
      <w:pPr>
        <w:pStyle w:val="9"/>
        <w:rPr>
          <w:rFonts w:ascii="Times New Roman" w:hAnsi="Times New Roman"/>
          <w:sz w:val="20"/>
        </w:rPr>
      </w:pPr>
    </w:p>
    <w:p>
      <w:pPr>
        <w:pStyle w:val="9"/>
        <w:rPr>
          <w:rFonts w:ascii="Times New Roman" w:hAnsi="Times New Roman"/>
          <w:sz w:val="20"/>
        </w:rPr>
      </w:pPr>
    </w:p>
    <w:p>
      <w:pPr>
        <w:pStyle w:val="9"/>
        <w:rPr>
          <w:rFonts w:ascii="Times New Roman" w:hAnsi="Times New Roman"/>
          <w:sz w:val="20"/>
        </w:rPr>
      </w:pPr>
    </w:p>
    <w:p>
      <w:pPr>
        <w:pStyle w:val="15"/>
        <w:spacing w:before="384" w:line="307" w:lineRule="auto"/>
      </w:pPr>
      <w:r>
        <w:rPr>
          <w:color w:val="FF3131"/>
          <w:w w:val="95"/>
        </w:rPr>
        <w:t>IZVJEŠTAJ</w:t>
      </w:r>
      <w:r>
        <w:rPr>
          <w:color w:val="FF3131"/>
          <w:spacing w:val="207"/>
          <w:w w:val="95"/>
        </w:rPr>
        <w:t xml:space="preserve"> </w:t>
      </w:r>
      <w:r>
        <w:rPr>
          <w:color w:val="FF3131"/>
          <w:w w:val="95"/>
        </w:rPr>
        <w:t>O</w:t>
      </w:r>
      <w:r>
        <w:rPr>
          <w:color w:val="FF3131"/>
          <w:spacing w:val="-319"/>
          <w:w w:val="95"/>
        </w:rPr>
        <w:t xml:space="preserve"> </w:t>
      </w:r>
      <w:r>
        <w:rPr>
          <w:color w:val="FF3131"/>
        </w:rPr>
        <w:t>RADU</w:t>
      </w:r>
    </w:p>
    <w:p>
      <w:pPr>
        <w:pStyle w:val="15"/>
        <w:ind w:left="127"/>
      </w:pPr>
      <w:r>
        <w:rPr>
          <w:color w:val="FF3131"/>
          <w:w w:val="110"/>
        </w:rPr>
        <w:t>2023</w:t>
      </w:r>
    </w:p>
    <w:p>
      <w:pPr>
        <w:pStyle w:val="9"/>
        <w:rPr>
          <w:rFonts w:ascii="Arial" w:hAnsi="Arial"/>
          <w:b/>
          <w:sz w:val="20"/>
        </w:rPr>
      </w:pPr>
    </w:p>
    <w:p>
      <w:pPr>
        <w:pStyle w:val="9"/>
        <w:rPr>
          <w:rFonts w:ascii="Arial" w:hAnsi="Arial"/>
          <w:b/>
          <w:sz w:val="20"/>
        </w:rPr>
      </w:pPr>
    </w:p>
    <w:p>
      <w:pPr>
        <w:pStyle w:val="9"/>
        <w:rPr>
          <w:rFonts w:ascii="Arial" w:hAnsi="Arial"/>
          <w:b/>
          <w:sz w:val="20"/>
        </w:rPr>
      </w:pPr>
    </w:p>
    <w:p>
      <w:pPr>
        <w:pStyle w:val="9"/>
        <w:rPr>
          <w:rFonts w:ascii="Arial" w:hAnsi="Arial"/>
          <w:b/>
          <w:sz w:val="20"/>
        </w:rPr>
      </w:pPr>
    </w:p>
    <w:p>
      <w:pPr>
        <w:pStyle w:val="9"/>
        <w:rPr>
          <w:rFonts w:ascii="Arial" w:hAnsi="Arial"/>
          <w:b/>
          <w:sz w:val="20"/>
        </w:rPr>
      </w:pPr>
    </w:p>
    <w:p>
      <w:pPr>
        <w:pStyle w:val="9"/>
        <w:rPr>
          <w:rFonts w:ascii="Arial" w:hAnsi="Arial"/>
          <w:b/>
          <w:sz w:val="20"/>
        </w:rPr>
      </w:pPr>
    </w:p>
    <w:p>
      <w:pPr>
        <w:pStyle w:val="9"/>
        <w:rPr>
          <w:rFonts w:ascii="Arial" w:hAnsi="Arial"/>
          <w:b/>
          <w:sz w:val="20"/>
        </w:rPr>
      </w:pPr>
    </w:p>
    <w:p>
      <w:pPr>
        <w:pStyle w:val="9"/>
        <w:rPr>
          <w:rFonts w:ascii="Arial" w:hAnsi="Arial"/>
          <w:b/>
          <w:sz w:val="20"/>
        </w:rPr>
      </w:pPr>
    </w:p>
    <w:p>
      <w:pPr>
        <w:pStyle w:val="9"/>
        <w:rPr>
          <w:rFonts w:ascii="Arial" w:hAnsi="Arial"/>
          <w:b/>
          <w:sz w:val="20"/>
        </w:rPr>
      </w:pPr>
    </w:p>
    <w:p>
      <w:pPr>
        <w:pStyle w:val="9"/>
        <w:rPr>
          <w:rFonts w:ascii="Arial" w:hAnsi="Arial"/>
          <w:b/>
          <w:sz w:val="20"/>
        </w:rPr>
      </w:pPr>
    </w:p>
    <w:p>
      <w:pPr>
        <w:pStyle w:val="9"/>
        <w:rPr>
          <w:rFonts w:ascii="Arial" w:hAnsi="Arial"/>
          <w:b/>
          <w:sz w:val="20"/>
        </w:rPr>
      </w:pPr>
    </w:p>
    <w:p>
      <w:pPr>
        <w:pStyle w:val="9"/>
        <w:rPr>
          <w:rFonts w:ascii="Arial" w:hAnsi="Arial"/>
          <w:b/>
          <w:sz w:val="20"/>
        </w:rPr>
      </w:pPr>
    </w:p>
    <w:p>
      <w:pPr>
        <w:pStyle w:val="9"/>
        <w:rPr>
          <w:rFonts w:ascii="Arial" w:hAnsi="Arial"/>
          <w:b/>
          <w:sz w:val="20"/>
        </w:rPr>
      </w:pPr>
    </w:p>
    <w:p>
      <w:pPr>
        <w:pStyle w:val="9"/>
        <w:rPr>
          <w:rFonts w:ascii="Arial" w:hAnsi="Arial"/>
          <w:b/>
          <w:sz w:val="20"/>
        </w:rPr>
      </w:pPr>
    </w:p>
    <w:p>
      <w:pPr>
        <w:pStyle w:val="9"/>
        <w:rPr>
          <w:rFonts w:ascii="Arial" w:hAnsi="Arial"/>
          <w:b/>
          <w:sz w:val="20"/>
        </w:rPr>
      </w:pPr>
    </w:p>
    <w:p>
      <w:pPr>
        <w:pStyle w:val="9"/>
        <w:rPr>
          <w:rFonts w:ascii="Arial" w:hAnsi="Arial"/>
          <w:b/>
          <w:sz w:val="23"/>
        </w:rPr>
      </w:pPr>
    </w:p>
    <w:p>
      <w:pPr>
        <w:pStyle w:val="9"/>
        <w:spacing w:before="84"/>
        <w:ind w:left="805"/>
      </w:pPr>
      <w:r>
        <mc:AlternateContent>
          <mc:Choice Requires="wps">
            <w:drawing>
              <wp:anchor distT="0" distB="0" distL="0" distR="0" simplePos="0" relativeHeight="251659264" behindDoc="1" locked="0" layoutInCell="0" allowOverlap="1">
                <wp:simplePos x="0" y="0"/>
                <wp:positionH relativeFrom="page">
                  <wp:posOffset>766445</wp:posOffset>
                </wp:positionH>
                <wp:positionV relativeFrom="paragraph">
                  <wp:posOffset>61595</wp:posOffset>
                </wp:positionV>
                <wp:extent cx="352425" cy="352425"/>
                <wp:effectExtent l="0" t="0" r="0" b="0"/>
                <wp:wrapNone/>
                <wp:docPr id="11" name="AutoShape 6"/>
                <wp:cNvGraphicFramePr/>
                <a:graphic xmlns:a="http://schemas.openxmlformats.org/drawingml/2006/main">
                  <a:graphicData uri="http://schemas.microsoft.com/office/word/2010/wordprocessingShape">
                    <wps:wsp>
                      <wps:cNvSpPr/>
                      <wps:spPr>
                        <a:xfrm>
                          <a:off x="0" y="0"/>
                          <a:ext cx="352440" cy="352440"/>
                        </a:xfrm>
                        <a:custGeom>
                          <a:avLst/>
                          <a:gdLst>
                            <a:gd name="textAreaLeft" fmla="*/ 0 w 199800"/>
                            <a:gd name="textAreaRight" fmla="*/ 201600 w 199800"/>
                            <a:gd name="textAreaTop" fmla="*/ 0 h 199800"/>
                            <a:gd name="textAreaBottom" fmla="*/ 201600 h 199800"/>
                          </a:gdLst>
                          <a:ahLst/>
                          <a:cxnLst/>
                          <a:rect l="textAreaLeft" t="textAreaTop" r="textAreaRight" b="textAreaBottom"/>
                          <a:pathLst>
                            <a:path w="555" h="555">
                              <a:moveTo>
                                <a:pt x="334" y="555"/>
                              </a:moveTo>
                              <a:lnTo>
                                <a:pt x="228" y="555"/>
                              </a:lnTo>
                              <a:lnTo>
                                <a:pt x="206" y="552"/>
                              </a:lnTo>
                              <a:lnTo>
                                <a:pt x="139" y="524"/>
                              </a:lnTo>
                              <a:lnTo>
                                <a:pt x="82" y="480"/>
                              </a:lnTo>
                              <a:lnTo>
                                <a:pt x="38" y="423"/>
                              </a:lnTo>
                              <a:lnTo>
                                <a:pt x="10" y="356"/>
                              </a:lnTo>
                              <a:lnTo>
                                <a:pt x="0" y="281"/>
                              </a:lnTo>
                              <a:lnTo>
                                <a:pt x="10" y="207"/>
                              </a:lnTo>
                              <a:lnTo>
                                <a:pt x="38" y="139"/>
                              </a:lnTo>
                              <a:lnTo>
                                <a:pt x="82" y="82"/>
                              </a:lnTo>
                              <a:lnTo>
                                <a:pt x="139" y="39"/>
                              </a:lnTo>
                              <a:lnTo>
                                <a:pt x="206" y="10"/>
                              </a:lnTo>
                              <a:lnTo>
                                <a:pt x="280" y="0"/>
                              </a:lnTo>
                              <a:lnTo>
                                <a:pt x="282" y="0"/>
                              </a:lnTo>
                              <a:lnTo>
                                <a:pt x="356" y="10"/>
                              </a:lnTo>
                              <a:lnTo>
                                <a:pt x="423" y="39"/>
                              </a:lnTo>
                              <a:lnTo>
                                <a:pt x="480" y="82"/>
                              </a:lnTo>
                              <a:lnTo>
                                <a:pt x="510" y="122"/>
                              </a:lnTo>
                              <a:lnTo>
                                <a:pt x="146" y="122"/>
                              </a:lnTo>
                              <a:lnTo>
                                <a:pt x="131" y="128"/>
                              </a:lnTo>
                              <a:lnTo>
                                <a:pt x="119" y="139"/>
                              </a:lnTo>
                              <a:lnTo>
                                <a:pt x="106" y="156"/>
                              </a:lnTo>
                              <a:lnTo>
                                <a:pt x="98" y="176"/>
                              </a:lnTo>
                              <a:lnTo>
                                <a:pt x="96" y="196"/>
                              </a:lnTo>
                              <a:lnTo>
                                <a:pt x="96" y="197"/>
                              </a:lnTo>
                              <a:lnTo>
                                <a:pt x="97" y="218"/>
                              </a:lnTo>
                              <a:lnTo>
                                <a:pt x="99" y="228"/>
                              </a:lnTo>
                              <a:lnTo>
                                <a:pt x="102" y="238"/>
                              </a:lnTo>
                              <a:lnTo>
                                <a:pt x="105" y="247"/>
                              </a:lnTo>
                              <a:lnTo>
                                <a:pt x="120" y="279"/>
                              </a:lnTo>
                              <a:lnTo>
                                <a:pt x="138" y="309"/>
                              </a:lnTo>
                              <a:lnTo>
                                <a:pt x="160" y="338"/>
                              </a:lnTo>
                              <a:lnTo>
                                <a:pt x="183" y="365"/>
                              </a:lnTo>
                              <a:lnTo>
                                <a:pt x="208" y="389"/>
                              </a:lnTo>
                              <a:lnTo>
                                <a:pt x="236" y="412"/>
                              </a:lnTo>
                              <a:lnTo>
                                <a:pt x="265" y="432"/>
                              </a:lnTo>
                              <a:lnTo>
                                <a:pt x="296" y="448"/>
                              </a:lnTo>
                              <a:lnTo>
                                <a:pt x="305" y="452"/>
                              </a:lnTo>
                              <a:lnTo>
                                <a:pt x="315" y="456"/>
                              </a:lnTo>
                              <a:lnTo>
                                <a:pt x="325" y="458"/>
                              </a:lnTo>
                              <a:lnTo>
                                <a:pt x="345" y="461"/>
                              </a:lnTo>
                              <a:lnTo>
                                <a:pt x="495" y="461"/>
                              </a:lnTo>
                              <a:lnTo>
                                <a:pt x="480" y="480"/>
                              </a:lnTo>
                              <a:lnTo>
                                <a:pt x="423" y="524"/>
                              </a:lnTo>
                              <a:lnTo>
                                <a:pt x="356" y="552"/>
                              </a:lnTo>
                              <a:lnTo>
                                <a:pt x="334" y="555"/>
                              </a:lnTo>
                              <a:close/>
                              <a:moveTo>
                                <a:pt x="288" y="357"/>
                              </a:moveTo>
                              <a:lnTo>
                                <a:pt x="277" y="356"/>
                              </a:lnTo>
                              <a:lnTo>
                                <a:pt x="266" y="352"/>
                              </a:lnTo>
                              <a:lnTo>
                                <a:pt x="256" y="345"/>
                              </a:lnTo>
                              <a:lnTo>
                                <a:pt x="247" y="338"/>
                              </a:lnTo>
                              <a:lnTo>
                                <a:pt x="238" y="330"/>
                              </a:lnTo>
                              <a:lnTo>
                                <a:pt x="229" y="321"/>
                              </a:lnTo>
                              <a:lnTo>
                                <a:pt x="221" y="312"/>
                              </a:lnTo>
                              <a:lnTo>
                                <a:pt x="213" y="302"/>
                              </a:lnTo>
                              <a:lnTo>
                                <a:pt x="206" y="293"/>
                              </a:lnTo>
                              <a:lnTo>
                                <a:pt x="200" y="282"/>
                              </a:lnTo>
                              <a:lnTo>
                                <a:pt x="196" y="271"/>
                              </a:lnTo>
                              <a:lnTo>
                                <a:pt x="196" y="260"/>
                              </a:lnTo>
                              <a:lnTo>
                                <a:pt x="199" y="248"/>
                              </a:lnTo>
                              <a:lnTo>
                                <a:pt x="204" y="235"/>
                              </a:lnTo>
                              <a:lnTo>
                                <a:pt x="217" y="226"/>
                              </a:lnTo>
                              <a:lnTo>
                                <a:pt x="219" y="215"/>
                              </a:lnTo>
                              <a:lnTo>
                                <a:pt x="219" y="212"/>
                              </a:lnTo>
                              <a:lnTo>
                                <a:pt x="218" y="196"/>
                              </a:lnTo>
                              <a:lnTo>
                                <a:pt x="209" y="179"/>
                              </a:lnTo>
                              <a:lnTo>
                                <a:pt x="197" y="164"/>
                              </a:lnTo>
                              <a:lnTo>
                                <a:pt x="185" y="151"/>
                              </a:lnTo>
                              <a:lnTo>
                                <a:pt x="173" y="137"/>
                              </a:lnTo>
                              <a:lnTo>
                                <a:pt x="160" y="126"/>
                              </a:lnTo>
                              <a:lnTo>
                                <a:pt x="146" y="122"/>
                              </a:lnTo>
                              <a:lnTo>
                                <a:pt x="510" y="122"/>
                              </a:lnTo>
                              <a:lnTo>
                                <a:pt x="511" y="122"/>
                              </a:lnTo>
                              <a:lnTo>
                                <a:pt x="272" y="122"/>
                              </a:lnTo>
                              <a:lnTo>
                                <a:pt x="267" y="126"/>
                              </a:lnTo>
                              <a:lnTo>
                                <a:pt x="266" y="137"/>
                              </a:lnTo>
                              <a:lnTo>
                                <a:pt x="269" y="141"/>
                              </a:lnTo>
                              <a:lnTo>
                                <a:pt x="275" y="142"/>
                              </a:lnTo>
                              <a:lnTo>
                                <a:pt x="303" y="148"/>
                              </a:lnTo>
                              <a:lnTo>
                                <a:pt x="330" y="158"/>
                              </a:lnTo>
                              <a:lnTo>
                                <a:pt x="355" y="173"/>
                              </a:lnTo>
                              <a:lnTo>
                                <a:pt x="366" y="183"/>
                              </a:lnTo>
                              <a:lnTo>
                                <a:pt x="277" y="183"/>
                              </a:lnTo>
                              <a:lnTo>
                                <a:pt x="273" y="187"/>
                              </a:lnTo>
                              <a:lnTo>
                                <a:pt x="272" y="197"/>
                              </a:lnTo>
                              <a:lnTo>
                                <a:pt x="275" y="202"/>
                              </a:lnTo>
                              <a:lnTo>
                                <a:pt x="281" y="203"/>
                              </a:lnTo>
                              <a:lnTo>
                                <a:pt x="296" y="206"/>
                              </a:lnTo>
                              <a:lnTo>
                                <a:pt x="311" y="212"/>
                              </a:lnTo>
                              <a:lnTo>
                                <a:pt x="324" y="220"/>
                              </a:lnTo>
                              <a:lnTo>
                                <a:pt x="336" y="231"/>
                              </a:lnTo>
                              <a:lnTo>
                                <a:pt x="346" y="243"/>
                              </a:lnTo>
                              <a:lnTo>
                                <a:pt x="354" y="257"/>
                              </a:lnTo>
                              <a:lnTo>
                                <a:pt x="359" y="272"/>
                              </a:lnTo>
                              <a:lnTo>
                                <a:pt x="361" y="288"/>
                              </a:lnTo>
                              <a:lnTo>
                                <a:pt x="361" y="292"/>
                              </a:lnTo>
                              <a:lnTo>
                                <a:pt x="361" y="293"/>
                              </a:lnTo>
                              <a:lnTo>
                                <a:pt x="366" y="297"/>
                              </a:lnTo>
                              <a:lnTo>
                                <a:pt x="421" y="297"/>
                              </a:lnTo>
                              <a:lnTo>
                                <a:pt x="422" y="302"/>
                              </a:lnTo>
                              <a:lnTo>
                                <a:pt x="426" y="306"/>
                              </a:lnTo>
                              <a:lnTo>
                                <a:pt x="555" y="306"/>
                              </a:lnTo>
                              <a:lnTo>
                                <a:pt x="555" y="336"/>
                              </a:lnTo>
                              <a:lnTo>
                                <a:pt x="336" y="336"/>
                              </a:lnTo>
                              <a:lnTo>
                                <a:pt x="323" y="338"/>
                              </a:lnTo>
                              <a:lnTo>
                                <a:pt x="313" y="351"/>
                              </a:lnTo>
                              <a:lnTo>
                                <a:pt x="300" y="355"/>
                              </a:lnTo>
                              <a:lnTo>
                                <a:pt x="288" y="357"/>
                              </a:lnTo>
                              <a:close/>
                              <a:moveTo>
                                <a:pt x="555" y="306"/>
                              </a:moveTo>
                              <a:lnTo>
                                <a:pt x="431" y="306"/>
                              </a:lnTo>
                              <a:lnTo>
                                <a:pt x="437" y="306"/>
                              </a:lnTo>
                              <a:lnTo>
                                <a:pt x="441" y="301"/>
                              </a:lnTo>
                              <a:lnTo>
                                <a:pt x="441" y="296"/>
                              </a:lnTo>
                              <a:lnTo>
                                <a:pt x="436" y="264"/>
                              </a:lnTo>
                              <a:lnTo>
                                <a:pt x="426" y="233"/>
                              </a:lnTo>
                              <a:lnTo>
                                <a:pt x="410" y="205"/>
                              </a:lnTo>
                              <a:lnTo>
                                <a:pt x="390" y="179"/>
                              </a:lnTo>
                              <a:lnTo>
                                <a:pt x="366" y="158"/>
                              </a:lnTo>
                              <a:lnTo>
                                <a:pt x="339" y="141"/>
                              </a:lnTo>
                              <a:lnTo>
                                <a:pt x="309" y="129"/>
                              </a:lnTo>
                              <a:lnTo>
                                <a:pt x="277" y="123"/>
                              </a:lnTo>
                              <a:lnTo>
                                <a:pt x="272" y="122"/>
                              </a:lnTo>
                              <a:lnTo>
                                <a:pt x="511" y="122"/>
                              </a:lnTo>
                              <a:lnTo>
                                <a:pt x="524" y="139"/>
                              </a:lnTo>
                              <a:lnTo>
                                <a:pt x="552" y="207"/>
                              </a:lnTo>
                              <a:lnTo>
                                <a:pt x="555" y="226"/>
                              </a:lnTo>
                              <a:lnTo>
                                <a:pt x="555" y="306"/>
                              </a:lnTo>
                              <a:close/>
                              <a:moveTo>
                                <a:pt x="421" y="297"/>
                              </a:moveTo>
                              <a:lnTo>
                                <a:pt x="371" y="297"/>
                              </a:lnTo>
                              <a:lnTo>
                                <a:pt x="377" y="296"/>
                              </a:lnTo>
                              <a:lnTo>
                                <a:pt x="381" y="292"/>
                              </a:lnTo>
                              <a:lnTo>
                                <a:pt x="380" y="287"/>
                              </a:lnTo>
                              <a:lnTo>
                                <a:pt x="377" y="268"/>
                              </a:lnTo>
                              <a:lnTo>
                                <a:pt x="371" y="249"/>
                              </a:lnTo>
                              <a:lnTo>
                                <a:pt x="362" y="232"/>
                              </a:lnTo>
                              <a:lnTo>
                                <a:pt x="350" y="217"/>
                              </a:lnTo>
                              <a:lnTo>
                                <a:pt x="336" y="205"/>
                              </a:lnTo>
                              <a:lnTo>
                                <a:pt x="319" y="195"/>
                              </a:lnTo>
                              <a:lnTo>
                                <a:pt x="302" y="188"/>
                              </a:lnTo>
                              <a:lnTo>
                                <a:pt x="283" y="184"/>
                              </a:lnTo>
                              <a:lnTo>
                                <a:pt x="277" y="183"/>
                              </a:lnTo>
                              <a:lnTo>
                                <a:pt x="366" y="183"/>
                              </a:lnTo>
                              <a:lnTo>
                                <a:pt x="376" y="193"/>
                              </a:lnTo>
                              <a:lnTo>
                                <a:pt x="394" y="215"/>
                              </a:lnTo>
                              <a:lnTo>
                                <a:pt x="408" y="241"/>
                              </a:lnTo>
                              <a:lnTo>
                                <a:pt x="417" y="268"/>
                              </a:lnTo>
                              <a:lnTo>
                                <a:pt x="421" y="297"/>
                              </a:lnTo>
                              <a:close/>
                              <a:moveTo>
                                <a:pt x="495" y="461"/>
                              </a:moveTo>
                              <a:lnTo>
                                <a:pt x="345" y="461"/>
                              </a:lnTo>
                              <a:lnTo>
                                <a:pt x="367" y="459"/>
                              </a:lnTo>
                              <a:lnTo>
                                <a:pt x="387" y="453"/>
                              </a:lnTo>
                              <a:lnTo>
                                <a:pt x="404" y="441"/>
                              </a:lnTo>
                              <a:lnTo>
                                <a:pt x="416" y="429"/>
                              </a:lnTo>
                              <a:lnTo>
                                <a:pt x="424" y="415"/>
                              </a:lnTo>
                              <a:lnTo>
                                <a:pt x="420" y="401"/>
                              </a:lnTo>
                              <a:lnTo>
                                <a:pt x="409" y="387"/>
                              </a:lnTo>
                              <a:lnTo>
                                <a:pt x="397" y="373"/>
                              </a:lnTo>
                              <a:lnTo>
                                <a:pt x="384" y="361"/>
                              </a:lnTo>
                              <a:lnTo>
                                <a:pt x="369" y="348"/>
                              </a:lnTo>
                              <a:lnTo>
                                <a:pt x="353" y="339"/>
                              </a:lnTo>
                              <a:lnTo>
                                <a:pt x="336" y="336"/>
                              </a:lnTo>
                              <a:lnTo>
                                <a:pt x="555" y="336"/>
                              </a:lnTo>
                              <a:lnTo>
                                <a:pt x="552" y="356"/>
                              </a:lnTo>
                              <a:lnTo>
                                <a:pt x="524" y="423"/>
                              </a:lnTo>
                              <a:lnTo>
                                <a:pt x="495" y="461"/>
                              </a:lnTo>
                              <a:close/>
                            </a:path>
                          </a:pathLst>
                        </a:custGeom>
                        <a:solidFill>
                          <a:srgbClr val="FF3131"/>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shape id="AutoShape 6" o:spid="_x0000_s1026" o:spt="100" style="position:absolute;left:0pt;margin-left:60.35pt;margin-top:4.85pt;height:27.75pt;width:27.75pt;mso-position-horizontal-relative:page;z-index:-251657216;mso-width-relative:page;mso-height-relative:page;" fillcolor="#FF3131" filled="t" stroked="f" coordsize="555,555" o:allowincell="f" o:gfxdata="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" path="m334,555l228,555,206,552,139,524,82,480,38,423,10,356,0,281,10,207,38,139,82,82,139,39,206,10,280,0,282,0,356,10,423,39,480,82,510,122,146,122,131,128,119,139,106,156,98,176,96,196,96,197,97,218,99,228,102,238,105,247,120,279,138,309,160,338,183,365,208,389,236,412,265,432,296,448,305,452,315,456,325,458,345,461,495,461,480,480,423,524,356,552,334,555xm288,357l277,356,266,352,256,345,247,338,238,330,229,321,221,312,213,302,206,293,200,282,196,271,196,260,199,248,204,235,217,226,219,215,219,212,218,196,209,179,197,164,185,151,173,137,160,126,146,122,510,122,511,122,272,122,267,126,266,137,269,141,275,142,303,148,330,158,355,173,366,183,277,183,273,187,272,197,275,202,281,203,296,206,311,212,324,220,336,231,346,243,354,257,359,272,361,288,361,292,361,293,366,297,421,297,422,302,426,306,555,306,555,336,336,336,323,338,313,351,300,355,288,357xm555,306l431,306,437,306,441,301,441,296,436,264,426,233,410,205,390,179,366,158,339,141,309,129,277,123,272,122,511,122,524,139,552,207,555,226,555,306xm421,297l371,297,377,296,381,292,380,287,377,268,371,249,362,232,350,217,336,205,319,195,302,188,283,184,277,183,366,183,376,193,394,215,408,241,417,268,421,297xm495,461l345,461,367,459,387,453,404,441,416,429,424,415,420,401,409,387,397,373,384,361,369,348,353,339,336,336,555,336,552,356,524,423,495,461xe">
                <v:fill on="t" focussize="0,0"/>
                <v:stroke on="f" weight="0pt"/>
                <v:imagedata o:title=""/>
                <o:lock v:ext="edit" aspectratio="f"/>
              </v:shape>
            </w:pict>
          </mc:Fallback>
        </mc:AlternateContent>
      </w:r>
      <w:r>
        <w:rPr>
          <w:color w:val="FF3131"/>
          <w:w w:val="90"/>
        </w:rPr>
        <w:t>+382</w:t>
      </w:r>
      <w:r>
        <w:rPr>
          <w:color w:val="FF3131"/>
          <w:spacing w:val="2"/>
          <w:w w:val="90"/>
        </w:rPr>
        <w:t xml:space="preserve"> </w:t>
      </w:r>
      <w:r>
        <w:rPr>
          <w:color w:val="FF3131"/>
          <w:w w:val="90"/>
        </w:rPr>
        <w:t>40</w:t>
      </w:r>
      <w:r>
        <w:rPr>
          <w:color w:val="FF3131"/>
          <w:spacing w:val="3"/>
          <w:w w:val="90"/>
        </w:rPr>
        <w:t xml:space="preserve"> </w:t>
      </w:r>
      <w:r>
        <w:rPr>
          <w:color w:val="FF3131"/>
          <w:w w:val="90"/>
        </w:rPr>
        <w:t>201</w:t>
      </w:r>
      <w:r>
        <w:rPr>
          <w:color w:val="FF3131"/>
          <w:spacing w:val="3"/>
          <w:w w:val="90"/>
        </w:rPr>
        <w:t xml:space="preserve"> </w:t>
      </w:r>
      <w:r>
        <w:rPr>
          <w:color w:val="FF3131"/>
          <w:w w:val="90"/>
        </w:rPr>
        <w:t>253</w:t>
      </w:r>
    </w:p>
    <w:p>
      <w:pPr>
        <w:pStyle w:val="9"/>
        <w:spacing w:before="127" w:line="271" w:lineRule="auto"/>
        <w:ind w:left="900" w:right="1119" w:hanging="96"/>
        <w:sectPr>
          <w:pgSz w:w="11906" w:h="16838"/>
          <w:pgMar w:top="0" w:right="1680" w:bottom="0" w:left="1080" w:header="0" w:footer="0" w:gutter="0"/>
          <w:cols w:space="720" w:num="1"/>
          <w:formProt w:val="0"/>
          <w:docGrid w:linePitch="100" w:charSpace="8192"/>
        </w:sectPr>
      </w:pPr>
      <w:r>
        <w:fldChar w:fldCharType="begin"/>
      </w:r>
      <w:r>
        <w:instrText xml:space="preserve"> HYPERLINK "mailto:scniksic@scniksic.me" \h </w:instrText>
      </w:r>
      <w:r>
        <w:fldChar w:fldCharType="separate"/>
      </w:r>
      <w:r>
        <mc:AlternateContent>
          <mc:Choice Requires="wps">
            <w:drawing>
              <wp:anchor distT="0" distB="0" distL="0" distR="0" simplePos="0" relativeHeight="251659264" behindDoc="1" locked="0" layoutInCell="0" allowOverlap="1">
                <wp:simplePos x="0" y="0"/>
                <wp:positionH relativeFrom="page">
                  <wp:posOffset>760730</wp:posOffset>
                </wp:positionH>
                <wp:positionV relativeFrom="paragraph">
                  <wp:posOffset>83185</wp:posOffset>
                </wp:positionV>
                <wp:extent cx="368935" cy="369570"/>
                <wp:effectExtent l="0" t="0" r="0" b="0"/>
                <wp:wrapNone/>
                <wp:docPr id="12" name="AutoShape 5"/>
                <wp:cNvGraphicFramePr/>
                <a:graphic xmlns:a="http://schemas.openxmlformats.org/drawingml/2006/main">
                  <a:graphicData uri="http://schemas.microsoft.com/office/word/2010/wordprocessingShape">
                    <wps:wsp>
                      <wps:cNvSpPr/>
                      <wps:spPr>
                        <a:xfrm>
                          <a:off x="0" y="0"/>
                          <a:ext cx="369000" cy="369720"/>
                        </a:xfrm>
                        <a:custGeom>
                          <a:avLst/>
                          <a:gdLst>
                            <a:gd name="textAreaLeft" fmla="*/ 0 w 209160"/>
                            <a:gd name="textAreaRight" fmla="*/ 210960 w 209160"/>
                            <a:gd name="textAreaTop" fmla="*/ 0 h 209520"/>
                            <a:gd name="textAreaBottom" fmla="*/ 211320 h 209520"/>
                          </a:gdLst>
                          <a:ahLst/>
                          <a:cxnLst/>
                          <a:rect l="textAreaLeft" t="textAreaTop" r="textAreaRight" b="textAreaBottom"/>
                          <a:pathLst>
                            <a:path w="581" h="582">
                              <a:moveTo>
                                <a:pt x="290" y="581"/>
                              </a:moveTo>
                              <a:lnTo>
                                <a:pt x="276" y="581"/>
                              </a:lnTo>
                              <a:lnTo>
                                <a:pt x="262" y="579"/>
                              </a:lnTo>
                              <a:lnTo>
                                <a:pt x="247" y="578"/>
                              </a:lnTo>
                              <a:lnTo>
                                <a:pt x="233" y="575"/>
                              </a:lnTo>
                              <a:lnTo>
                                <a:pt x="219" y="572"/>
                              </a:lnTo>
                              <a:lnTo>
                                <a:pt x="206" y="568"/>
                              </a:lnTo>
                              <a:lnTo>
                                <a:pt x="192" y="564"/>
                              </a:lnTo>
                              <a:lnTo>
                                <a:pt x="179" y="559"/>
                              </a:lnTo>
                              <a:lnTo>
                                <a:pt x="166" y="553"/>
                              </a:lnTo>
                              <a:lnTo>
                                <a:pt x="153" y="547"/>
                              </a:lnTo>
                              <a:lnTo>
                                <a:pt x="141" y="540"/>
                              </a:lnTo>
                              <a:lnTo>
                                <a:pt x="129" y="532"/>
                              </a:lnTo>
                              <a:lnTo>
                                <a:pt x="117" y="524"/>
                              </a:lnTo>
                              <a:lnTo>
                                <a:pt x="106" y="515"/>
                              </a:lnTo>
                              <a:lnTo>
                                <a:pt x="95" y="506"/>
                              </a:lnTo>
                              <a:lnTo>
                                <a:pt x="85" y="496"/>
                              </a:lnTo>
                              <a:lnTo>
                                <a:pt x="75" y="485"/>
                              </a:lnTo>
                              <a:lnTo>
                                <a:pt x="65" y="475"/>
                              </a:lnTo>
                              <a:lnTo>
                                <a:pt x="57" y="463"/>
                              </a:lnTo>
                              <a:lnTo>
                                <a:pt x="48" y="452"/>
                              </a:lnTo>
                              <a:lnTo>
                                <a:pt x="41" y="440"/>
                              </a:lnTo>
                              <a:lnTo>
                                <a:pt x="34" y="427"/>
                              </a:lnTo>
                              <a:lnTo>
                                <a:pt x="27" y="415"/>
                              </a:lnTo>
                              <a:lnTo>
                                <a:pt x="22" y="402"/>
                              </a:lnTo>
                              <a:lnTo>
                                <a:pt x="16" y="388"/>
                              </a:lnTo>
                              <a:lnTo>
                                <a:pt x="12" y="375"/>
                              </a:lnTo>
                              <a:lnTo>
                                <a:pt x="8" y="361"/>
                              </a:lnTo>
                              <a:lnTo>
                                <a:pt x="5" y="347"/>
                              </a:lnTo>
                              <a:lnTo>
                                <a:pt x="3" y="333"/>
                              </a:lnTo>
                              <a:lnTo>
                                <a:pt x="1" y="319"/>
                              </a:lnTo>
                              <a:lnTo>
                                <a:pt x="0" y="305"/>
                              </a:lnTo>
                              <a:lnTo>
                                <a:pt x="0" y="284"/>
                              </a:lnTo>
                              <a:lnTo>
                                <a:pt x="0" y="276"/>
                              </a:lnTo>
                              <a:lnTo>
                                <a:pt x="1" y="262"/>
                              </a:lnTo>
                              <a:lnTo>
                                <a:pt x="3" y="248"/>
                              </a:lnTo>
                              <a:lnTo>
                                <a:pt x="5" y="234"/>
                              </a:lnTo>
                              <a:lnTo>
                                <a:pt x="8" y="220"/>
                              </a:lnTo>
                              <a:lnTo>
                                <a:pt x="12" y="206"/>
                              </a:lnTo>
                              <a:lnTo>
                                <a:pt x="16" y="193"/>
                              </a:lnTo>
                              <a:lnTo>
                                <a:pt x="22" y="179"/>
                              </a:lnTo>
                              <a:lnTo>
                                <a:pt x="27" y="166"/>
                              </a:lnTo>
                              <a:lnTo>
                                <a:pt x="34" y="153"/>
                              </a:lnTo>
                              <a:lnTo>
                                <a:pt x="41" y="141"/>
                              </a:lnTo>
                              <a:lnTo>
                                <a:pt x="48" y="129"/>
                              </a:lnTo>
                              <a:lnTo>
                                <a:pt x="57" y="117"/>
                              </a:lnTo>
                              <a:lnTo>
                                <a:pt x="65" y="106"/>
                              </a:lnTo>
                              <a:lnTo>
                                <a:pt x="75" y="95"/>
                              </a:lnTo>
                              <a:lnTo>
                                <a:pt x="85" y="85"/>
                              </a:lnTo>
                              <a:lnTo>
                                <a:pt x="95" y="75"/>
                              </a:lnTo>
                              <a:lnTo>
                                <a:pt x="106" y="66"/>
                              </a:lnTo>
                              <a:lnTo>
                                <a:pt x="117" y="57"/>
                              </a:lnTo>
                              <a:lnTo>
                                <a:pt x="129" y="49"/>
                              </a:lnTo>
                              <a:lnTo>
                                <a:pt x="141" y="41"/>
                              </a:lnTo>
                              <a:lnTo>
                                <a:pt x="153" y="34"/>
                              </a:lnTo>
                              <a:lnTo>
                                <a:pt x="166" y="28"/>
                              </a:lnTo>
                              <a:lnTo>
                                <a:pt x="179" y="22"/>
                              </a:lnTo>
                              <a:lnTo>
                                <a:pt x="192" y="17"/>
                              </a:lnTo>
                              <a:lnTo>
                                <a:pt x="206" y="12"/>
                              </a:lnTo>
                              <a:lnTo>
                                <a:pt x="219" y="9"/>
                              </a:lnTo>
                              <a:lnTo>
                                <a:pt x="233" y="5"/>
                              </a:lnTo>
                              <a:lnTo>
                                <a:pt x="247" y="3"/>
                              </a:lnTo>
                              <a:lnTo>
                                <a:pt x="262" y="1"/>
                              </a:lnTo>
                              <a:lnTo>
                                <a:pt x="276" y="0"/>
                              </a:lnTo>
                              <a:lnTo>
                                <a:pt x="290" y="0"/>
                              </a:lnTo>
                              <a:lnTo>
                                <a:pt x="304" y="0"/>
                              </a:lnTo>
                              <a:lnTo>
                                <a:pt x="318" y="1"/>
                              </a:lnTo>
                              <a:lnTo>
                                <a:pt x="333" y="3"/>
                              </a:lnTo>
                              <a:lnTo>
                                <a:pt x="347" y="5"/>
                              </a:lnTo>
                              <a:lnTo>
                                <a:pt x="361" y="9"/>
                              </a:lnTo>
                              <a:lnTo>
                                <a:pt x="374" y="12"/>
                              </a:lnTo>
                              <a:lnTo>
                                <a:pt x="388" y="17"/>
                              </a:lnTo>
                              <a:lnTo>
                                <a:pt x="401" y="22"/>
                              </a:lnTo>
                              <a:lnTo>
                                <a:pt x="414" y="28"/>
                              </a:lnTo>
                              <a:lnTo>
                                <a:pt x="427" y="34"/>
                              </a:lnTo>
                              <a:lnTo>
                                <a:pt x="439" y="41"/>
                              </a:lnTo>
                              <a:lnTo>
                                <a:pt x="451" y="49"/>
                              </a:lnTo>
                              <a:lnTo>
                                <a:pt x="463" y="57"/>
                              </a:lnTo>
                              <a:lnTo>
                                <a:pt x="474" y="66"/>
                              </a:lnTo>
                              <a:lnTo>
                                <a:pt x="485" y="75"/>
                              </a:lnTo>
                              <a:lnTo>
                                <a:pt x="495" y="85"/>
                              </a:lnTo>
                              <a:lnTo>
                                <a:pt x="505" y="95"/>
                              </a:lnTo>
                              <a:lnTo>
                                <a:pt x="515" y="106"/>
                              </a:lnTo>
                              <a:lnTo>
                                <a:pt x="523" y="117"/>
                              </a:lnTo>
                              <a:lnTo>
                                <a:pt x="532" y="129"/>
                              </a:lnTo>
                              <a:lnTo>
                                <a:pt x="539" y="141"/>
                              </a:lnTo>
                              <a:lnTo>
                                <a:pt x="543" y="147"/>
                              </a:lnTo>
                              <a:lnTo>
                                <a:pt x="150" y="147"/>
                              </a:lnTo>
                              <a:lnTo>
                                <a:pt x="145" y="148"/>
                              </a:lnTo>
                              <a:lnTo>
                                <a:pt x="134" y="152"/>
                              </a:lnTo>
                              <a:lnTo>
                                <a:pt x="129" y="155"/>
                              </a:lnTo>
                              <a:lnTo>
                                <a:pt x="120" y="163"/>
                              </a:lnTo>
                              <a:lnTo>
                                <a:pt x="117" y="167"/>
                              </a:lnTo>
                              <a:lnTo>
                                <a:pt x="111" y="177"/>
                              </a:lnTo>
                              <a:lnTo>
                                <a:pt x="110" y="183"/>
                              </a:lnTo>
                              <a:lnTo>
                                <a:pt x="109" y="188"/>
                              </a:lnTo>
                              <a:lnTo>
                                <a:pt x="147" y="210"/>
                              </a:lnTo>
                              <a:lnTo>
                                <a:pt x="108" y="210"/>
                              </a:lnTo>
                              <a:lnTo>
                                <a:pt x="108" y="392"/>
                              </a:lnTo>
                              <a:lnTo>
                                <a:pt x="110" y="398"/>
                              </a:lnTo>
                              <a:lnTo>
                                <a:pt x="114" y="410"/>
                              </a:lnTo>
                              <a:lnTo>
                                <a:pt x="118" y="415"/>
                              </a:lnTo>
                              <a:lnTo>
                                <a:pt x="127" y="424"/>
                              </a:lnTo>
                              <a:lnTo>
                                <a:pt x="132" y="428"/>
                              </a:lnTo>
                              <a:lnTo>
                                <a:pt x="144" y="432"/>
                              </a:lnTo>
                              <a:lnTo>
                                <a:pt x="150" y="434"/>
                              </a:lnTo>
                              <a:lnTo>
                                <a:pt x="543" y="434"/>
                              </a:lnTo>
                              <a:lnTo>
                                <a:pt x="539" y="440"/>
                              </a:lnTo>
                              <a:lnTo>
                                <a:pt x="532" y="452"/>
                              </a:lnTo>
                              <a:lnTo>
                                <a:pt x="523" y="463"/>
                              </a:lnTo>
                              <a:lnTo>
                                <a:pt x="515" y="475"/>
                              </a:lnTo>
                              <a:lnTo>
                                <a:pt x="505" y="485"/>
                              </a:lnTo>
                              <a:lnTo>
                                <a:pt x="495" y="496"/>
                              </a:lnTo>
                              <a:lnTo>
                                <a:pt x="485" y="506"/>
                              </a:lnTo>
                              <a:lnTo>
                                <a:pt x="474" y="515"/>
                              </a:lnTo>
                              <a:lnTo>
                                <a:pt x="463" y="524"/>
                              </a:lnTo>
                              <a:lnTo>
                                <a:pt x="451" y="532"/>
                              </a:lnTo>
                              <a:lnTo>
                                <a:pt x="439" y="540"/>
                              </a:lnTo>
                              <a:lnTo>
                                <a:pt x="427" y="547"/>
                              </a:lnTo>
                              <a:lnTo>
                                <a:pt x="414" y="553"/>
                              </a:lnTo>
                              <a:lnTo>
                                <a:pt x="401" y="559"/>
                              </a:lnTo>
                              <a:lnTo>
                                <a:pt x="388" y="564"/>
                              </a:lnTo>
                              <a:lnTo>
                                <a:pt x="374" y="568"/>
                              </a:lnTo>
                              <a:lnTo>
                                <a:pt x="361" y="572"/>
                              </a:lnTo>
                              <a:lnTo>
                                <a:pt x="347" y="575"/>
                              </a:lnTo>
                              <a:lnTo>
                                <a:pt x="333" y="578"/>
                              </a:lnTo>
                              <a:lnTo>
                                <a:pt x="318" y="579"/>
                              </a:lnTo>
                              <a:lnTo>
                                <a:pt x="304" y="581"/>
                              </a:lnTo>
                              <a:lnTo>
                                <a:pt x="290" y="581"/>
                              </a:lnTo>
                              <a:close/>
                              <a:moveTo>
                                <a:pt x="339" y="285"/>
                              </a:moveTo>
                              <a:lnTo>
                                <a:pt x="297" y="285"/>
                              </a:lnTo>
                              <a:lnTo>
                                <a:pt x="304" y="284"/>
                              </a:lnTo>
                              <a:lnTo>
                                <a:pt x="317" y="276"/>
                              </a:lnTo>
                              <a:lnTo>
                                <a:pt x="439" y="206"/>
                              </a:lnTo>
                              <a:lnTo>
                                <a:pt x="471" y="188"/>
                              </a:lnTo>
                              <a:lnTo>
                                <a:pt x="470" y="182"/>
                              </a:lnTo>
                              <a:lnTo>
                                <a:pt x="468" y="177"/>
                              </a:lnTo>
                              <a:lnTo>
                                <a:pt x="463" y="167"/>
                              </a:lnTo>
                              <a:lnTo>
                                <a:pt x="459" y="162"/>
                              </a:lnTo>
                              <a:lnTo>
                                <a:pt x="451" y="155"/>
                              </a:lnTo>
                              <a:lnTo>
                                <a:pt x="446" y="152"/>
                              </a:lnTo>
                              <a:lnTo>
                                <a:pt x="435" y="148"/>
                              </a:lnTo>
                              <a:lnTo>
                                <a:pt x="430" y="147"/>
                              </a:lnTo>
                              <a:lnTo>
                                <a:pt x="543" y="147"/>
                              </a:lnTo>
                              <a:lnTo>
                                <a:pt x="546" y="153"/>
                              </a:lnTo>
                              <a:lnTo>
                                <a:pt x="553" y="166"/>
                              </a:lnTo>
                              <a:lnTo>
                                <a:pt x="558" y="179"/>
                              </a:lnTo>
                              <a:lnTo>
                                <a:pt x="564" y="193"/>
                              </a:lnTo>
                              <a:lnTo>
                                <a:pt x="568" y="206"/>
                              </a:lnTo>
                              <a:lnTo>
                                <a:pt x="569" y="209"/>
                              </a:lnTo>
                              <a:lnTo>
                                <a:pt x="472" y="209"/>
                              </a:lnTo>
                              <a:lnTo>
                                <a:pt x="339" y="285"/>
                              </a:lnTo>
                              <a:close/>
                              <a:moveTo>
                                <a:pt x="543" y="434"/>
                              </a:moveTo>
                              <a:lnTo>
                                <a:pt x="430" y="434"/>
                              </a:lnTo>
                              <a:lnTo>
                                <a:pt x="436" y="432"/>
                              </a:lnTo>
                              <a:lnTo>
                                <a:pt x="448" y="428"/>
                              </a:lnTo>
                              <a:lnTo>
                                <a:pt x="453" y="424"/>
                              </a:lnTo>
                              <a:lnTo>
                                <a:pt x="462" y="415"/>
                              </a:lnTo>
                              <a:lnTo>
                                <a:pt x="465" y="410"/>
                              </a:lnTo>
                              <a:lnTo>
                                <a:pt x="470" y="398"/>
                              </a:lnTo>
                              <a:lnTo>
                                <a:pt x="472" y="392"/>
                              </a:lnTo>
                              <a:lnTo>
                                <a:pt x="472" y="209"/>
                              </a:lnTo>
                              <a:lnTo>
                                <a:pt x="569" y="209"/>
                              </a:lnTo>
                              <a:lnTo>
                                <a:pt x="572" y="220"/>
                              </a:lnTo>
                              <a:lnTo>
                                <a:pt x="575" y="234"/>
                              </a:lnTo>
                              <a:lnTo>
                                <a:pt x="577" y="248"/>
                              </a:lnTo>
                              <a:lnTo>
                                <a:pt x="579" y="262"/>
                              </a:lnTo>
                              <a:lnTo>
                                <a:pt x="580" y="276"/>
                              </a:lnTo>
                              <a:lnTo>
                                <a:pt x="580" y="284"/>
                              </a:lnTo>
                              <a:lnTo>
                                <a:pt x="580" y="305"/>
                              </a:lnTo>
                              <a:lnTo>
                                <a:pt x="579" y="319"/>
                              </a:lnTo>
                              <a:lnTo>
                                <a:pt x="577" y="333"/>
                              </a:lnTo>
                              <a:lnTo>
                                <a:pt x="575" y="347"/>
                              </a:lnTo>
                              <a:lnTo>
                                <a:pt x="572" y="361"/>
                              </a:lnTo>
                              <a:lnTo>
                                <a:pt x="568" y="375"/>
                              </a:lnTo>
                              <a:lnTo>
                                <a:pt x="564" y="388"/>
                              </a:lnTo>
                              <a:lnTo>
                                <a:pt x="558" y="402"/>
                              </a:lnTo>
                              <a:lnTo>
                                <a:pt x="553" y="415"/>
                              </a:lnTo>
                              <a:lnTo>
                                <a:pt x="546" y="428"/>
                              </a:lnTo>
                              <a:lnTo>
                                <a:pt x="543" y="434"/>
                              </a:lnTo>
                              <a:close/>
                              <a:moveTo>
                                <a:pt x="301" y="305"/>
                              </a:moveTo>
                              <a:lnTo>
                                <a:pt x="279" y="305"/>
                              </a:lnTo>
                              <a:lnTo>
                                <a:pt x="269" y="302"/>
                              </a:lnTo>
                              <a:lnTo>
                                <a:pt x="108" y="210"/>
                              </a:lnTo>
                              <a:lnTo>
                                <a:pt x="147" y="210"/>
                              </a:lnTo>
                              <a:lnTo>
                                <a:pt x="276" y="284"/>
                              </a:lnTo>
                              <a:lnTo>
                                <a:pt x="283" y="285"/>
                              </a:lnTo>
                              <a:lnTo>
                                <a:pt x="339" y="285"/>
                              </a:lnTo>
                              <a:lnTo>
                                <a:pt x="311" y="302"/>
                              </a:lnTo>
                              <a:lnTo>
                                <a:pt x="301" y="305"/>
                              </a:lnTo>
                              <a:close/>
                            </a:path>
                          </a:pathLst>
                        </a:custGeom>
                        <a:solidFill>
                          <a:srgbClr val="FF3131"/>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shape id="AutoShape 5" o:spid="_x0000_s1026" o:spt="100" style="position:absolute;left:0pt;margin-left:59.9pt;margin-top:6.55pt;height:29.1pt;width:29.05pt;mso-position-horizontal-relative:page;z-index:-251657216;mso-width-relative:page;mso-height-relative:page;" fillcolor="#FF3131" filled="t" stroked="f" coordsize="581,582" o:allowincell="f" o:gfxdata="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" path="m290,581l276,581,262,579,247,578,233,575,219,572,206,568,192,564,179,559,166,553,153,547,141,540,129,532,117,524,106,515,95,506,85,496,75,485,65,475,57,463,48,452,41,440,34,427,27,415,22,402,16,388,12,375,8,361,5,347,3,333,1,319,0,305,0,284,0,276,1,262,3,248,5,234,8,220,12,206,16,193,22,179,27,166,34,153,41,141,48,129,57,117,65,106,75,95,85,85,95,75,106,66,117,57,129,49,141,41,153,34,166,28,179,22,192,17,206,12,219,9,233,5,247,3,262,1,276,0,290,0,304,0,318,1,333,3,347,5,361,9,374,12,388,17,401,22,414,28,427,34,439,41,451,49,463,57,474,66,485,75,495,85,505,95,515,106,523,117,532,129,539,141,543,147,150,147,145,148,134,152,129,155,120,163,117,167,111,177,110,183,109,188,147,210,108,210,108,392,110,398,114,410,118,415,127,424,132,428,144,432,150,434,543,434,539,440,532,452,523,463,515,475,505,485,495,496,485,506,474,515,463,524,451,532,439,540,427,547,414,553,401,559,388,564,374,568,361,572,347,575,333,578,318,579,304,581,290,581xm339,285l297,285,304,284,317,276,439,206,471,188,470,182,468,177,463,167,459,162,451,155,446,152,435,148,430,147,543,147,546,153,553,166,558,179,564,193,568,206,569,209,472,209,339,285xm543,434l430,434,436,432,448,428,453,424,462,415,465,410,470,398,472,392,472,209,569,209,572,220,575,234,577,248,579,262,580,276,580,284,580,305,579,319,577,333,575,347,572,361,568,375,564,388,558,402,553,415,546,428,543,434xm301,305l279,305,269,302,108,210,147,210,276,284,283,285,339,285,311,302,301,305xe">
                <v:fill on="t" focussize="0,0"/>
                <v:stroke on="f" weight="0pt"/>
                <v:imagedata o:title=""/>
                <o:lock v:ext="edit" aspectratio="f"/>
              </v:shape>
            </w:pict>
          </mc:Fallback>
        </mc:AlternateContent>
      </w:r>
      <w:r>
        <mc:AlternateContent>
          <mc:Choice Requires="wpg">
            <w:drawing>
              <wp:anchor distT="0" distB="0" distL="0" distR="0" simplePos="0" relativeHeight="251659264" behindDoc="1" locked="0" layoutInCell="0" allowOverlap="1">
                <wp:simplePos x="0" y="0"/>
                <wp:positionH relativeFrom="page">
                  <wp:posOffset>755650</wp:posOffset>
                </wp:positionH>
                <wp:positionV relativeFrom="paragraph">
                  <wp:posOffset>549910</wp:posOffset>
                </wp:positionV>
                <wp:extent cx="360680" cy="360680"/>
                <wp:effectExtent l="0" t="0" r="0" b="0"/>
                <wp:wrapNone/>
                <wp:docPr id="13" name="Group 2"/>
                <wp:cNvGraphicFramePr/>
                <a:graphic xmlns:a="http://schemas.openxmlformats.org/drawingml/2006/main">
                  <a:graphicData uri="http://schemas.microsoft.com/office/word/2010/wordprocessingGroup">
                    <wpg:wgp>
                      <wpg:cNvGrpSpPr/>
                      <wpg:grpSpPr>
                        <a:xfrm>
                          <a:off x="0" y="0"/>
                          <a:ext cx="360720" cy="360720"/>
                          <a:chOff x="0" y="0"/>
                          <a:chExt cx="360720" cy="360720"/>
                        </a:xfrm>
                      </wpg:grpSpPr>
                      <wps:wsp>
                        <wps:cNvPr id="14" name="Freeform 4"/>
                        <wps:cNvSpPr/>
                        <wps:spPr>
                          <a:xfrm>
                            <a:off x="0" y="0"/>
                            <a:ext cx="360720" cy="360720"/>
                          </a:xfrm>
                          <a:custGeom>
                            <a:avLst/>
                            <a:gdLst>
                              <a:gd name="textAreaLeft" fmla="*/ 0 w 204480"/>
                              <a:gd name="textAreaRight" fmla="*/ 206280 w 204480"/>
                              <a:gd name="textAreaTop" fmla="*/ 0 h 204480"/>
                              <a:gd name="textAreaBottom" fmla="*/ 206280 h 204480"/>
                            </a:gdLst>
                            <a:ahLst/>
                            <a:cxnLst/>
                            <a:rect l="textAreaLeft" t="textAreaTop" r="textAreaRight" b="textAreaBottom"/>
                            <a:pathLst>
                              <a:path w="568" h="568">
                                <a:moveTo>
                                  <a:pt x="283" y="568"/>
                                </a:moveTo>
                                <a:lnTo>
                                  <a:pt x="214" y="559"/>
                                </a:lnTo>
                                <a:lnTo>
                                  <a:pt x="150" y="534"/>
                                </a:lnTo>
                                <a:lnTo>
                                  <a:pt x="93" y="494"/>
                                </a:lnTo>
                                <a:lnTo>
                                  <a:pt x="47" y="442"/>
                                </a:lnTo>
                                <a:lnTo>
                                  <a:pt x="16" y="380"/>
                                </a:lnTo>
                                <a:lnTo>
                                  <a:pt x="1" y="312"/>
                                </a:lnTo>
                                <a:lnTo>
                                  <a:pt x="0" y="284"/>
                                </a:lnTo>
                                <a:lnTo>
                                  <a:pt x="0" y="270"/>
                                </a:lnTo>
                                <a:lnTo>
                                  <a:pt x="12" y="202"/>
                                </a:lnTo>
                                <a:lnTo>
                                  <a:pt x="40" y="138"/>
                                </a:lnTo>
                                <a:lnTo>
                                  <a:pt x="83" y="83"/>
                                </a:lnTo>
                                <a:lnTo>
                                  <a:pt x="137" y="41"/>
                                </a:lnTo>
                                <a:lnTo>
                                  <a:pt x="201" y="13"/>
                                </a:lnTo>
                                <a:lnTo>
                                  <a:pt x="269" y="1"/>
                                </a:lnTo>
                                <a:lnTo>
                                  <a:pt x="283" y="0"/>
                                </a:lnTo>
                                <a:lnTo>
                                  <a:pt x="297" y="1"/>
                                </a:lnTo>
                                <a:lnTo>
                                  <a:pt x="366" y="13"/>
                                </a:lnTo>
                                <a:lnTo>
                                  <a:pt x="429" y="41"/>
                                </a:lnTo>
                                <a:lnTo>
                                  <a:pt x="484" y="83"/>
                                </a:lnTo>
                                <a:lnTo>
                                  <a:pt x="527" y="138"/>
                                </a:lnTo>
                                <a:lnTo>
                                  <a:pt x="555" y="202"/>
                                </a:lnTo>
                                <a:lnTo>
                                  <a:pt x="567" y="270"/>
                                </a:lnTo>
                                <a:lnTo>
                                  <a:pt x="567" y="284"/>
                                </a:lnTo>
                                <a:lnTo>
                                  <a:pt x="567" y="298"/>
                                </a:lnTo>
                                <a:lnTo>
                                  <a:pt x="555" y="366"/>
                                </a:lnTo>
                                <a:lnTo>
                                  <a:pt x="527" y="430"/>
                                </a:lnTo>
                                <a:lnTo>
                                  <a:pt x="484" y="485"/>
                                </a:lnTo>
                                <a:lnTo>
                                  <a:pt x="429" y="527"/>
                                </a:lnTo>
                                <a:lnTo>
                                  <a:pt x="366" y="556"/>
                                </a:lnTo>
                                <a:lnTo>
                                  <a:pt x="297" y="567"/>
                                </a:lnTo>
                                <a:lnTo>
                                  <a:pt x="283" y="568"/>
                                </a:lnTo>
                                <a:close/>
                              </a:path>
                            </a:pathLst>
                          </a:custGeom>
                          <a:solidFill>
                            <a:srgbClr val="FF3131"/>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5" name="Picture 3"/>
                          <pic:cNvPicPr/>
                        </pic:nvPicPr>
                        <pic:blipFill>
                          <a:blip r:embed="rId11"/>
                          <a:stretch>
                            <a:fillRect/>
                          </a:stretch>
                        </pic:blipFill>
                        <pic:spPr>
                          <a:xfrm>
                            <a:off x="67320" y="67320"/>
                            <a:ext cx="225360" cy="225360"/>
                          </a:xfrm>
                          <a:prstGeom prst="rect">
                            <a:avLst/>
                          </a:prstGeom>
                          <a:ln w="0">
                            <a:noFill/>
                          </a:ln>
                        </pic:spPr>
                      </pic:pic>
                    </wpg:wgp>
                  </a:graphicData>
                </a:graphic>
              </wp:anchor>
            </w:drawing>
          </mc:Choice>
          <mc:Fallback>
            <w:pict>
              <v:group id="Group 2" o:spid="_x0000_s1026" o:spt="203" style="position:absolute;left:0pt;margin-left:59.5pt;margin-top:43.3pt;height:28.4pt;width:28.4pt;mso-position-horizontal-relative:page;z-index:-251657216;mso-width-relative:page;mso-height-relative:page;" coordsize="360720,360720" o:allowincell="f" o:gfxdata="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">
                <o:lock v:ext="edit" aspectratio="f"/>
                <v:shape id="Freeform 4" o:spid="_x0000_s1026" o:spt="100" style="position:absolute;left:0;top:0;height:360720;width:360720;" fillcolor="#FF3131" filled="t" stroked="f" coordsize="568,568" o:gfxdata="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D/AJugAAANsA&#10;AAAPAAAAAAAAAAEAIAAAACIAAABkcnMvZG93bnJldi54bWxQSwECFAAUAAAACACHTuJAMy8FnjsA&#10;AAA5AAAAEAAAAAAAAAABACAAAAAJAQAAZHJzL3NoYXBleG1sLnhtbFBLBQYAAAAABgAGAFsBAACz&#10;AwAAAAA=&#10;" path="m283,568l214,559,150,534,93,494,47,442,16,380,1,312,0,284,0,270,12,202,40,138,83,83,137,41,201,13,269,1,283,0,297,1,366,13,429,41,484,83,527,138,555,202,567,270,567,284,567,298,555,366,527,430,484,485,429,527,366,556,297,567,283,568xe">
                  <v:fill on="t" focussize="0,0"/>
                  <v:stroke on="f" weight="0pt"/>
                  <v:imagedata o:title=""/>
                  <o:lock v:ext="edit" aspectratio="f"/>
                </v:shape>
                <v:shape id="Picture 3" o:spid="_x0000_s1026" o:spt="75" type="#_x0000_t75" style="position:absolute;left:67320;top:67320;height:225360;width:225360;" filled="f" o:preferrelative="t" stroked="f" coordsize="21600,21600" o:gfxdata="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L4JtW2AAAA2wAAAA8A&#10;AAAAAAAAAQAgAAAAIgAAAGRycy9kb3ducmV2LnhtbFBLAQIUABQAAAAIAIdO4kAzLwWeOwAAADkA&#10;AAAQAAAAAAAAAAEAIAAAAAUBAABkcnMvc2hhcGV4bWwueG1sUEsFBgAAAAAGAAYAWwEAAK8DAAAA&#10;AA==&#10;">
                  <v:fill on="f" focussize="0,0"/>
                  <v:stroke on="f" weight="0pt"/>
                  <v:imagedata r:id="rId11" o:title=""/>
                  <o:lock v:ext="edit" aspectratio="f"/>
                </v:shape>
              </v:group>
            </w:pict>
          </mc:Fallback>
        </mc:AlternateContent>
      </w:r>
      <w:r>
        <w:rPr>
          <w:color w:val="FF5757"/>
        </w:rPr>
        <w:t>scniksic@scniksic.me</w:t>
      </w:r>
      <w:r>
        <w:rPr>
          <w:color w:val="FF5757"/>
        </w:rPr>
        <w:fldChar w:fldCharType="end"/>
      </w:r>
      <w:r>
        <w:rPr>
          <w:color w:val="FF5757"/>
          <w:spacing w:val="1"/>
        </w:rPr>
        <w:t xml:space="preserve"> </w:t>
      </w:r>
      <w:r>
        <w:rPr>
          <w:rStyle w:val="13"/>
          <w:color w:val="FF5757"/>
        </w:rPr>
        <w:t>www.scniksic.me</w:t>
      </w:r>
    </w:p>
    <w:p>
      <w:pPr>
        <w:rPr>
          <w:b/>
          <w:bCs/>
          <w:color w:val="FF0000"/>
          <w:sz w:val="52"/>
          <w:szCs w:val="52"/>
          <w:lang w:val="sr-Latn-ME"/>
        </w:rPr>
      </w:pPr>
      <w:r>
        <w:rPr>
          <w:rStyle w:val="13"/>
          <w:b/>
          <w:bCs/>
          <w:color w:val="FF0000"/>
          <w:sz w:val="52"/>
          <w:szCs w:val="52"/>
          <w:lang w:val="sr-Latn-ME"/>
        </w:rPr>
        <w:t>SADRŽAJ</w:t>
      </w:r>
    </w:p>
    <w:sdt>
      <w:sdtPr>
        <w:id w:val="-1310168718"/>
        <w:docPartObj>
          <w:docPartGallery w:val="Table of Contents"/>
          <w:docPartUnique/>
        </w:docPartObj>
      </w:sdtPr>
      <w:sdtContent>
        <w:p>
          <w:pPr>
            <w:pStyle w:val="16"/>
            <w:rPr>
              <w:lang w:val="sr-Latn-ME"/>
            </w:rPr>
          </w:pPr>
        </w:p>
        <w:p>
          <w:pPr>
            <w:pStyle w:val="16"/>
            <w:tabs>
              <w:tab w:val="right" w:leader="dot" w:pos="9602"/>
              <w:tab w:val="clear" w:pos="8424"/>
            </w:tabs>
          </w:pPr>
          <w:r>
            <w:fldChar w:fldCharType="begin"/>
          </w:r>
          <w:r>
            <w:rPr>
              <w:rStyle w:val="18"/>
            </w:rPr>
            <w:instrText xml:space="preserve"> TOC \o "1-3" \u \h</w:instrText>
          </w:r>
          <w:r>
            <w:rPr>
              <w:rStyle w:val="18"/>
            </w:rPr>
            <w:fldChar w:fldCharType="separate"/>
          </w:r>
          <w:r>
            <w:fldChar w:fldCharType="begin"/>
          </w:r>
          <w:r>
            <w:instrText xml:space="preserve"> HYPERLINK \l "__RefHeading___Toc2260_3382316548" \h </w:instrText>
          </w:r>
          <w:r>
            <w:fldChar w:fldCharType="separate"/>
          </w:r>
          <w:r>
            <w:rPr>
              <w:rStyle w:val="18"/>
            </w:rPr>
            <w:t>UVOD</w:t>
          </w:r>
          <w:r>
            <w:rPr>
              <w:rStyle w:val="18"/>
            </w:rPr>
            <w:tab/>
          </w:r>
          <w:r>
            <w:rPr>
              <w:rStyle w:val="18"/>
            </w:rPr>
            <w:t>3</w:t>
          </w:r>
          <w:r>
            <w:rPr>
              <w:rStyle w:val="18"/>
            </w:rPr>
            <w:fldChar w:fldCharType="end"/>
          </w:r>
        </w:p>
        <w:p>
          <w:pPr>
            <w:pStyle w:val="16"/>
            <w:tabs>
              <w:tab w:val="right" w:leader="dot" w:pos="9602"/>
              <w:tab w:val="clear" w:pos="8424"/>
            </w:tabs>
          </w:pPr>
          <w:r>
            <w:fldChar w:fldCharType="begin"/>
          </w:r>
          <w:r>
            <w:instrText xml:space="preserve"> HYPERLINK \l "__RefHeading___Toc2262_3382316548" \h </w:instrText>
          </w:r>
          <w:r>
            <w:fldChar w:fldCharType="separate"/>
          </w:r>
          <w:r>
            <w:rPr>
              <w:rStyle w:val="18"/>
            </w:rPr>
            <w:t>1. OSTVARENI POSLOVNI REZULTAT</w:t>
          </w:r>
          <w:r>
            <w:rPr>
              <w:rStyle w:val="18"/>
            </w:rPr>
            <w:tab/>
          </w:r>
          <w:r>
            <w:rPr>
              <w:rStyle w:val="18"/>
            </w:rPr>
            <w:t>4</w:t>
          </w:r>
          <w:r>
            <w:rPr>
              <w:rStyle w:val="18"/>
            </w:rPr>
            <w:fldChar w:fldCharType="end"/>
          </w:r>
        </w:p>
        <w:p>
          <w:pPr>
            <w:pStyle w:val="16"/>
            <w:tabs>
              <w:tab w:val="right" w:leader="dot" w:pos="9602"/>
              <w:tab w:val="clear" w:pos="8424"/>
            </w:tabs>
          </w:pPr>
          <w:r>
            <w:fldChar w:fldCharType="begin"/>
          </w:r>
          <w:r>
            <w:instrText xml:space="preserve"> HYPERLINK \l "__RefHeading___Toc2264_3382316548" \h </w:instrText>
          </w:r>
          <w:r>
            <w:fldChar w:fldCharType="separate"/>
          </w:r>
          <w:r>
            <w:rPr>
              <w:rStyle w:val="18"/>
            </w:rPr>
            <w:t>2. AKTIVNOSTI I OSTVARENI REZULTATI U OSNOVNOJ DJELATNOSTI SA PRATEĆIM SADRŽAJIMA</w:t>
          </w:r>
          <w:r>
            <w:rPr>
              <w:rStyle w:val="18"/>
            </w:rPr>
            <w:tab/>
          </w:r>
          <w:r>
            <w:rPr>
              <w:rStyle w:val="18"/>
            </w:rPr>
            <w:t>7</w:t>
          </w:r>
          <w:r>
            <w:rPr>
              <w:rStyle w:val="18"/>
            </w:rPr>
            <w:fldChar w:fldCharType="end"/>
          </w:r>
        </w:p>
        <w:p>
          <w:pPr>
            <w:pStyle w:val="17"/>
            <w:tabs>
              <w:tab w:val="right" w:leader="dot" w:pos="9602"/>
            </w:tabs>
          </w:pPr>
          <w:r>
            <w:fldChar w:fldCharType="begin"/>
          </w:r>
          <w:r>
            <w:instrText xml:space="preserve"> HYPERLINK \l "__RefHeading___Toc2266_3382316548" \h </w:instrText>
          </w:r>
          <w:r>
            <w:fldChar w:fldCharType="separate"/>
          </w:r>
          <w:r>
            <w:rPr>
              <w:rStyle w:val="18"/>
            </w:rPr>
            <w:t>2.1. Aktivnosti i korištenje kapaciteta u pružanju usluga sportske dvorane</w:t>
          </w:r>
          <w:r>
            <w:rPr>
              <w:rStyle w:val="18"/>
            </w:rPr>
            <w:tab/>
          </w:r>
          <w:r>
            <w:rPr>
              <w:rStyle w:val="18"/>
            </w:rPr>
            <w:t>8</w:t>
          </w:r>
          <w:r>
            <w:rPr>
              <w:rStyle w:val="18"/>
            </w:rPr>
            <w:fldChar w:fldCharType="end"/>
          </w:r>
        </w:p>
        <w:p>
          <w:pPr>
            <w:pStyle w:val="17"/>
            <w:tabs>
              <w:tab w:val="right" w:leader="dot" w:pos="9602"/>
            </w:tabs>
          </w:pPr>
          <w:r>
            <w:fldChar w:fldCharType="begin"/>
          </w:r>
          <w:r>
            <w:instrText xml:space="preserve"> HYPERLINK \l "__RefHeading___Toc2268_3382316548" \h </w:instrText>
          </w:r>
          <w:r>
            <w:fldChar w:fldCharType="separate"/>
          </w:r>
          <w:r>
            <w:rPr>
              <w:rStyle w:val="18"/>
            </w:rPr>
            <w:t>2.2. Aktivnosti i korištenje kapaciteta u pružanju usluga bazena</w:t>
          </w:r>
          <w:r>
            <w:rPr>
              <w:rStyle w:val="18"/>
            </w:rPr>
            <w:tab/>
          </w:r>
          <w:r>
            <w:rPr>
              <w:rStyle w:val="18"/>
            </w:rPr>
            <w:t>10</w:t>
          </w:r>
          <w:r>
            <w:rPr>
              <w:rStyle w:val="18"/>
            </w:rPr>
            <w:fldChar w:fldCharType="end"/>
          </w:r>
        </w:p>
        <w:p>
          <w:pPr>
            <w:pStyle w:val="17"/>
            <w:tabs>
              <w:tab w:val="right" w:leader="dot" w:pos="9602"/>
            </w:tabs>
          </w:pPr>
          <w:r>
            <w:fldChar w:fldCharType="begin"/>
          </w:r>
          <w:r>
            <w:instrText xml:space="preserve"> HYPERLINK \l "__RefHeading___Toc2270_3382316548" \h </w:instrText>
          </w:r>
          <w:r>
            <w:fldChar w:fldCharType="separate"/>
          </w:r>
          <w:r>
            <w:rPr>
              <w:rStyle w:val="18"/>
            </w:rPr>
            <w:t>2.3. Aktivnosti i korištenje kapaciteta u pružanju usluga teretane</w:t>
          </w:r>
          <w:r>
            <w:rPr>
              <w:rStyle w:val="18"/>
            </w:rPr>
            <w:tab/>
          </w:r>
          <w:r>
            <w:rPr>
              <w:rStyle w:val="18"/>
            </w:rPr>
            <w:t>11</w:t>
          </w:r>
          <w:r>
            <w:rPr>
              <w:rStyle w:val="18"/>
            </w:rPr>
            <w:fldChar w:fldCharType="end"/>
          </w:r>
        </w:p>
        <w:p>
          <w:pPr>
            <w:pStyle w:val="17"/>
            <w:tabs>
              <w:tab w:val="right" w:leader="dot" w:pos="9602"/>
            </w:tabs>
          </w:pPr>
          <w:r>
            <w:fldChar w:fldCharType="begin"/>
          </w:r>
          <w:r>
            <w:instrText xml:space="preserve"> HYPERLINK \l "__RefHeading___Toc2272_3382316548" \h </w:instrText>
          </w:r>
          <w:r>
            <w:fldChar w:fldCharType="separate"/>
          </w:r>
          <w:r>
            <w:rPr>
              <w:rStyle w:val="18"/>
            </w:rPr>
            <w:t>2.4. Aktivnosti i korištenje kapaciteta terena na otvorenom</w:t>
          </w:r>
          <w:r>
            <w:rPr>
              <w:rStyle w:val="18"/>
            </w:rPr>
            <w:tab/>
          </w:r>
          <w:r>
            <w:rPr>
              <w:rStyle w:val="18"/>
            </w:rPr>
            <w:t>11</w:t>
          </w:r>
          <w:r>
            <w:rPr>
              <w:rStyle w:val="18"/>
            </w:rPr>
            <w:fldChar w:fldCharType="end"/>
          </w:r>
        </w:p>
        <w:p>
          <w:pPr>
            <w:pStyle w:val="17"/>
            <w:tabs>
              <w:tab w:val="right" w:leader="dot" w:pos="9602"/>
            </w:tabs>
          </w:pPr>
          <w:r>
            <w:fldChar w:fldCharType="begin"/>
          </w:r>
          <w:r>
            <w:instrText xml:space="preserve"> HYPERLINK \l "__RefHeading___Toc2274_3382316548" \h </w:instrText>
          </w:r>
          <w:r>
            <w:fldChar w:fldCharType="separate"/>
          </w:r>
          <w:r>
            <w:rPr>
              <w:rStyle w:val="18"/>
            </w:rPr>
            <w:t>2.5. Aktivnosti i ostvareni rezultati u pružanju usluga izdavanja poslovnih prostora</w:t>
          </w:r>
          <w:r>
            <w:rPr>
              <w:rStyle w:val="18"/>
            </w:rPr>
            <w:tab/>
          </w:r>
          <w:r>
            <w:rPr>
              <w:rStyle w:val="18"/>
            </w:rPr>
            <w:t>13</w:t>
          </w:r>
          <w:r>
            <w:rPr>
              <w:rStyle w:val="18"/>
            </w:rPr>
            <w:fldChar w:fldCharType="end"/>
          </w:r>
        </w:p>
        <w:p>
          <w:pPr>
            <w:pStyle w:val="17"/>
            <w:tabs>
              <w:tab w:val="right" w:leader="dot" w:pos="9602"/>
            </w:tabs>
          </w:pPr>
          <w:r>
            <w:fldChar w:fldCharType="begin"/>
          </w:r>
          <w:r>
            <w:instrText xml:space="preserve"> HYPERLINK \l "__RefHeading___Toc2276_3382316548" \h </w:instrText>
          </w:r>
          <w:r>
            <w:fldChar w:fldCharType="separate"/>
          </w:r>
          <w:r>
            <w:rPr>
              <w:rStyle w:val="18"/>
            </w:rPr>
            <w:t>2.6. Aktivnosti i ostvareni rezultati u pružanju usluga izdavanja reklamnih prostora</w:t>
          </w:r>
          <w:r>
            <w:rPr>
              <w:rStyle w:val="18"/>
            </w:rPr>
            <w:tab/>
          </w:r>
          <w:r>
            <w:rPr>
              <w:rStyle w:val="18"/>
            </w:rPr>
            <w:t>13</w:t>
          </w:r>
          <w:r>
            <w:rPr>
              <w:rStyle w:val="18"/>
            </w:rPr>
            <w:fldChar w:fldCharType="end"/>
          </w:r>
        </w:p>
        <w:p>
          <w:pPr>
            <w:pStyle w:val="16"/>
            <w:tabs>
              <w:tab w:val="right" w:leader="dot" w:pos="9602"/>
              <w:tab w:val="clear" w:pos="8424"/>
            </w:tabs>
          </w:pPr>
          <w:r>
            <w:fldChar w:fldCharType="begin"/>
          </w:r>
          <w:r>
            <w:instrText xml:space="preserve"> HYPERLINK \l "__RefHeading___Toc2278_3382316548" \h </w:instrText>
          </w:r>
          <w:r>
            <w:fldChar w:fldCharType="separate"/>
          </w:r>
          <w:r>
            <w:rPr>
              <w:rStyle w:val="18"/>
            </w:rPr>
            <w:t>3. AKTIVNOSTI I OSTVARENI REZULTATI U PRUŽANjU UGOSTITELjSKIH USLUGA</w:t>
          </w:r>
          <w:r>
            <w:rPr>
              <w:rStyle w:val="18"/>
            </w:rPr>
            <w:tab/>
          </w:r>
          <w:r>
            <w:rPr>
              <w:rStyle w:val="18"/>
            </w:rPr>
            <w:t>14</w:t>
          </w:r>
          <w:r>
            <w:rPr>
              <w:rStyle w:val="18"/>
            </w:rPr>
            <w:fldChar w:fldCharType="end"/>
          </w:r>
        </w:p>
        <w:p>
          <w:pPr>
            <w:pStyle w:val="16"/>
            <w:tabs>
              <w:tab w:val="right" w:leader="dot" w:pos="9602"/>
              <w:tab w:val="clear" w:pos="8424"/>
            </w:tabs>
          </w:pPr>
          <w:r>
            <w:fldChar w:fldCharType="begin"/>
          </w:r>
          <w:r>
            <w:instrText xml:space="preserve"> HYPERLINK \l "__RefHeading___Toc2280_3382316548" \h </w:instrText>
          </w:r>
          <w:r>
            <w:fldChar w:fldCharType="separate"/>
          </w:r>
          <w:r>
            <w:rPr>
              <w:rStyle w:val="18"/>
            </w:rPr>
            <w:t>4. ANALIZA BILANSA STANjA</w:t>
          </w:r>
          <w:r>
            <w:rPr>
              <w:rStyle w:val="18"/>
            </w:rPr>
            <w:tab/>
          </w:r>
          <w:r>
            <w:rPr>
              <w:rStyle w:val="18"/>
            </w:rPr>
            <w:t>16</w:t>
          </w:r>
          <w:r>
            <w:rPr>
              <w:rStyle w:val="18"/>
            </w:rPr>
            <w:fldChar w:fldCharType="end"/>
          </w:r>
        </w:p>
        <w:p>
          <w:pPr>
            <w:pStyle w:val="16"/>
            <w:tabs>
              <w:tab w:val="right" w:leader="dot" w:pos="9602"/>
              <w:tab w:val="clear" w:pos="8424"/>
            </w:tabs>
          </w:pPr>
          <w:r>
            <w:fldChar w:fldCharType="begin"/>
          </w:r>
          <w:r>
            <w:instrText xml:space="preserve"> HYPERLINK \l "__RefHeading___Toc2282_3382316548" \h </w:instrText>
          </w:r>
          <w:r>
            <w:fldChar w:fldCharType="separate"/>
          </w:r>
          <w:r>
            <w:rPr>
              <w:rStyle w:val="18"/>
            </w:rPr>
            <w:t>5. OPŠTI I KADROVSKI IZVJEŠTAJ</w:t>
          </w:r>
          <w:r>
            <w:rPr>
              <w:rStyle w:val="18"/>
            </w:rPr>
            <w:tab/>
          </w:r>
          <w:r>
            <w:rPr>
              <w:rStyle w:val="18"/>
            </w:rPr>
            <w:t>18</w:t>
          </w:r>
          <w:r>
            <w:rPr>
              <w:rStyle w:val="18"/>
            </w:rPr>
            <w:fldChar w:fldCharType="end"/>
          </w:r>
        </w:p>
        <w:p>
          <w:pPr>
            <w:pStyle w:val="16"/>
            <w:tabs>
              <w:tab w:val="right" w:leader="dot" w:pos="9602"/>
              <w:tab w:val="clear" w:pos="8424"/>
            </w:tabs>
          </w:pPr>
          <w:r>
            <w:fldChar w:fldCharType="begin"/>
          </w:r>
          <w:r>
            <w:instrText xml:space="preserve"> HYPERLINK \l "__RefHeading___Toc2284_3382316548" \h </w:instrText>
          </w:r>
          <w:r>
            <w:fldChar w:fldCharType="separate"/>
          </w:r>
          <w:r>
            <w:rPr>
              <w:rStyle w:val="18"/>
            </w:rPr>
            <w:t>6. IZVJEŠTAJ O RADU UPRAVNOG ODBORA</w:t>
          </w:r>
          <w:r>
            <w:rPr>
              <w:rStyle w:val="18"/>
            </w:rPr>
            <w:tab/>
          </w:r>
          <w:r>
            <w:rPr>
              <w:rStyle w:val="18"/>
            </w:rPr>
            <w:t>19</w:t>
          </w:r>
          <w:r>
            <w:rPr>
              <w:rStyle w:val="18"/>
            </w:rPr>
            <w:fldChar w:fldCharType="end"/>
          </w:r>
        </w:p>
        <w:p>
          <w:pPr>
            <w:pStyle w:val="16"/>
            <w:tabs>
              <w:tab w:val="right" w:leader="dot" w:pos="9602"/>
              <w:tab w:val="clear" w:pos="8424"/>
            </w:tabs>
          </w:pPr>
          <w:r>
            <w:fldChar w:fldCharType="begin"/>
          </w:r>
          <w:r>
            <w:instrText xml:space="preserve"> HYPERLINK \l "__RefHeading___Toc2286_3382316548" \h </w:instrText>
          </w:r>
          <w:r>
            <w:fldChar w:fldCharType="separate"/>
          </w:r>
          <w:r>
            <w:rPr>
              <w:rStyle w:val="18"/>
            </w:rPr>
            <w:t>KONSTATACIJE I ZAKLjUČCI</w:t>
          </w:r>
          <w:r>
            <w:rPr>
              <w:rStyle w:val="18"/>
            </w:rPr>
            <w:tab/>
          </w:r>
          <w:r>
            <w:rPr>
              <w:rStyle w:val="18"/>
            </w:rPr>
            <w:t>20</w:t>
          </w:r>
          <w:r>
            <w:rPr>
              <w:rStyle w:val="18"/>
            </w:rPr>
            <w:fldChar w:fldCharType="end"/>
          </w:r>
          <w:r>
            <w:rPr>
              <w:rStyle w:val="18"/>
            </w:rPr>
            <w:fldChar w:fldCharType="end"/>
          </w:r>
        </w:p>
      </w:sdtContent>
    </w:sdt>
    <w:p>
      <w:pPr>
        <w:pStyle w:val="16"/>
        <w:rPr>
          <w:lang w:val="sr-Latn-ME"/>
        </w:rPr>
      </w:pPr>
    </w:p>
    <w:p>
      <w:pPr>
        <w:rPr>
          <w:b/>
          <w:bCs/>
          <w:lang w:val="sr-Latn-ME" w:eastAsia="sr-Latn-ME"/>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ind w:firstLine="720"/>
        <w:jc w:val="both"/>
        <w:rPr>
          <w:sz w:val="24"/>
          <w:szCs w:val="24"/>
          <w:lang w:val="sr-Latn-CS"/>
        </w:rPr>
      </w:pPr>
      <w:r>
        <w:rPr>
          <w:sz w:val="24"/>
          <w:szCs w:val="24"/>
          <w:lang w:val="sr-Latn-CS"/>
        </w:rPr>
        <w:t>Na osnovu člana 35 Statuta Javnog preduzeća „Sportski centar Nikšić“ , a na koji je Skupština opštine Nikšić dala saglasnost Rješenjem br.: 01-3569 od 07.04.2006 godine i Odlukom br. 01-7148 od 06.07.2007 godine, Direktor Javnog preduzeća „Sportski centar Nikšić“ je, na sjednici Upravnog odbora održanoj dana 04.03.2024  godine Upravnom odboru podnio sljedeći:</w:t>
      </w:r>
    </w:p>
    <w:p>
      <w:pPr>
        <w:jc w:val="both"/>
        <w:rPr>
          <w:sz w:val="24"/>
          <w:szCs w:val="24"/>
          <w:lang w:val="sr-Latn-CS"/>
        </w:rPr>
      </w:pPr>
    </w:p>
    <w:p>
      <w:pPr>
        <w:ind w:firstLine="720"/>
        <w:jc w:val="both"/>
        <w:rPr>
          <w:sz w:val="24"/>
          <w:szCs w:val="24"/>
          <w:lang w:val="sr-Latn-CS"/>
        </w:rPr>
      </w:pPr>
    </w:p>
    <w:p>
      <w:pPr>
        <w:ind w:firstLine="720"/>
        <w:jc w:val="center"/>
        <w:rPr>
          <w:sz w:val="48"/>
          <w:szCs w:val="48"/>
          <w:lang w:val="sr-Latn-CS"/>
        </w:rPr>
      </w:pPr>
      <w:r>
        <w:rPr>
          <w:sz w:val="48"/>
          <w:szCs w:val="48"/>
          <w:lang w:val="sr-Latn-CS"/>
        </w:rPr>
        <w:t xml:space="preserve">Izvještaj o radu </w:t>
      </w:r>
    </w:p>
    <w:p>
      <w:pPr>
        <w:ind w:firstLine="720"/>
        <w:jc w:val="center"/>
        <w:rPr>
          <w:sz w:val="48"/>
          <w:szCs w:val="48"/>
          <w:lang w:val="sr-Latn-CS"/>
        </w:rPr>
      </w:pPr>
      <w:r>
        <w:rPr>
          <w:sz w:val="48"/>
          <w:szCs w:val="48"/>
          <w:lang w:val="sr-Latn-CS"/>
        </w:rPr>
        <w:t>J.P. „Sportski centar Nikšić“</w:t>
      </w:r>
    </w:p>
    <w:p>
      <w:pPr>
        <w:ind w:firstLine="720"/>
        <w:jc w:val="center"/>
        <w:rPr>
          <w:sz w:val="48"/>
          <w:szCs w:val="48"/>
          <w:lang w:val="sr-Latn-CS"/>
        </w:rPr>
      </w:pPr>
      <w:r>
        <w:rPr>
          <w:rFonts w:eastAsia="Calibri" w:cs="Calibri"/>
          <w:sz w:val="48"/>
          <w:szCs w:val="48"/>
          <w:lang w:val="sr-Latn-CS"/>
        </w:rPr>
        <w:t xml:space="preserve"> </w:t>
      </w:r>
      <w:r>
        <w:rPr>
          <w:sz w:val="48"/>
          <w:szCs w:val="48"/>
          <w:lang w:val="sr-Latn-CS"/>
        </w:rPr>
        <w:t>za 2023. godinu</w:t>
      </w:r>
    </w:p>
    <w:p>
      <w:pPr>
        <w:ind w:firstLine="720"/>
        <w:jc w:val="center"/>
        <w:rPr>
          <w:sz w:val="48"/>
          <w:szCs w:val="48"/>
          <w:lang w:val="sr-Latn-CS"/>
        </w:rPr>
      </w:pPr>
    </w:p>
    <w:p>
      <w:pPr>
        <w:ind w:firstLine="720"/>
        <w:jc w:val="center"/>
        <w:rPr>
          <w:sz w:val="48"/>
          <w:szCs w:val="48"/>
          <w:lang w:val="sr-Latn-CS"/>
        </w:rPr>
      </w:pPr>
    </w:p>
    <w:p>
      <w:pPr>
        <w:ind w:firstLine="720"/>
        <w:jc w:val="center"/>
        <w:rPr>
          <w:sz w:val="32"/>
          <w:szCs w:val="32"/>
          <w:lang w:val="sr-Latn-CS"/>
        </w:rPr>
      </w:pPr>
    </w:p>
    <w:p>
      <w:pPr>
        <w:ind w:firstLine="720"/>
        <w:jc w:val="center"/>
        <w:rPr>
          <w:sz w:val="32"/>
          <w:szCs w:val="32"/>
          <w:lang w:val="sr-Latn-CS"/>
        </w:rPr>
      </w:pPr>
    </w:p>
    <w:p>
      <w:pPr>
        <w:ind w:firstLine="720"/>
        <w:jc w:val="center"/>
        <w:rPr>
          <w:sz w:val="32"/>
          <w:szCs w:val="32"/>
          <w:lang w:val="sr-Latn-CS"/>
        </w:rPr>
      </w:pPr>
    </w:p>
    <w:p>
      <w:pPr>
        <w:ind w:firstLine="720"/>
        <w:jc w:val="center"/>
        <w:rPr>
          <w:sz w:val="32"/>
          <w:szCs w:val="32"/>
          <w:lang w:val="sr-Latn-CS"/>
        </w:rPr>
      </w:pPr>
    </w:p>
    <w:p>
      <w:pPr>
        <w:jc w:val="both"/>
        <w:rPr>
          <w:sz w:val="32"/>
          <w:szCs w:val="32"/>
          <w:lang w:val="sr-Latn-CS"/>
        </w:rPr>
      </w:pPr>
    </w:p>
    <w:p>
      <w:pPr>
        <w:ind w:firstLine="720"/>
        <w:jc w:val="center"/>
        <w:rPr>
          <w:sz w:val="32"/>
          <w:szCs w:val="32"/>
          <w:lang w:val="sr-Latn-CS"/>
        </w:rPr>
      </w:pPr>
    </w:p>
    <w:p>
      <w:pPr>
        <w:ind w:firstLine="720"/>
        <w:jc w:val="center"/>
        <w:rPr>
          <w:sz w:val="32"/>
          <w:szCs w:val="32"/>
          <w:lang w:val="sr-Latn-CS"/>
        </w:rPr>
      </w:pPr>
    </w:p>
    <w:p>
      <w:pPr>
        <w:ind w:firstLine="720"/>
        <w:jc w:val="center"/>
        <w:rPr>
          <w:sz w:val="32"/>
          <w:szCs w:val="32"/>
          <w:lang w:val="sr-Latn-CS"/>
        </w:rPr>
      </w:pPr>
    </w:p>
    <w:p>
      <w:pPr>
        <w:ind w:firstLine="720"/>
        <w:jc w:val="center"/>
        <w:rPr>
          <w:sz w:val="32"/>
          <w:szCs w:val="32"/>
          <w:lang w:val="sr-Latn-CS"/>
        </w:rPr>
      </w:pPr>
    </w:p>
    <w:p>
      <w:pPr>
        <w:ind w:firstLine="720"/>
        <w:jc w:val="center"/>
        <w:rPr>
          <w:sz w:val="32"/>
          <w:szCs w:val="32"/>
          <w:lang w:val="sr-Latn-CS"/>
        </w:rPr>
      </w:pPr>
    </w:p>
    <w:p>
      <w:pPr>
        <w:jc w:val="both"/>
        <w:rPr>
          <w:sz w:val="32"/>
          <w:szCs w:val="32"/>
          <w:lang w:val="sr-Latn-CS"/>
        </w:rPr>
      </w:pPr>
    </w:p>
    <w:p>
      <w:pPr>
        <w:pStyle w:val="2"/>
        <w:jc w:val="center"/>
        <w:rPr>
          <w:rFonts w:hint="eastAsia" w:ascii="Lucida Sans Unicode" w:hAnsi="Lucida Sans Unicode" w:cs="Lucida Sans Unicode"/>
          <w:lang w:val="sr-Latn-ME"/>
        </w:rPr>
      </w:pPr>
      <w:bookmarkStart w:id="0" w:name="__RefHeading___Toc2260_3382316548"/>
      <w:bookmarkEnd w:id="0"/>
      <w:bookmarkStart w:id="1" w:name="_Toc160109703"/>
      <w:r>
        <w:rPr>
          <w:rFonts w:ascii="Lucida Sans Unicode" w:hAnsi="Lucida Sans Unicode" w:cs="Lucida Sans Unicode"/>
          <w:lang w:val="sr-Latn-ME"/>
        </w:rPr>
        <w:t>UVOD</w:t>
      </w:r>
      <w:bookmarkEnd w:id="1"/>
    </w:p>
    <w:p>
      <w:pPr>
        <w:jc w:val="both"/>
        <w:rPr>
          <w:lang w:val="sr-Latn-ME"/>
        </w:rPr>
      </w:pPr>
    </w:p>
    <w:p>
      <w:pPr>
        <w:ind w:firstLine="720"/>
        <w:jc w:val="both"/>
        <w:rPr>
          <w:lang w:val="sr-Latn-ME"/>
        </w:rPr>
      </w:pPr>
    </w:p>
    <w:p>
      <w:pPr>
        <w:ind w:firstLine="720"/>
        <w:jc w:val="both"/>
        <w:rPr>
          <w:sz w:val="24"/>
          <w:szCs w:val="24"/>
          <w:lang w:val="sr-Latn-ME"/>
        </w:rPr>
      </w:pPr>
      <w:r>
        <w:rPr>
          <w:sz w:val="24"/>
          <w:szCs w:val="24"/>
          <w:lang w:val="sr-Latn-ME"/>
        </w:rPr>
        <w:t xml:space="preserve">Javno preduzeće „Sportski centar Nikšić" je osnovano radi obezbjeđivanja trajnog obavljanja djelatnosti od interesa za društvenu zajednicu, odnosno za zadovoljenje potreba: građana, sportista, privrednih subjekata, sportskih društava – potencijalnih korisnika. Preduzeće svoju poslovnu aktivnost u najvećoj mjeri finansira putem Transfera opštine Nikšić, ali i iz sopstvenih prihoda koje ostvaruje na tržištu u uslovima konkurencije. </w:t>
      </w:r>
    </w:p>
    <w:p>
      <w:pPr>
        <w:ind w:firstLine="720"/>
        <w:jc w:val="both"/>
        <w:rPr>
          <w:sz w:val="24"/>
          <w:szCs w:val="24"/>
          <w:lang w:val="sr-Latn-ME"/>
        </w:rPr>
      </w:pPr>
      <w:r>
        <w:rPr>
          <w:sz w:val="24"/>
          <w:szCs w:val="24"/>
          <w:lang w:val="sr-Latn-ME"/>
        </w:rPr>
        <w:t xml:space="preserve">Pretežna poslovna aktivnost Preduzeća je djelatnost sportskih arena ( stadiona ) – Prema Zakonu o klasifikaciji djelatnosti ("Službeni list Crne Gore" 018/11) šifra pretežne djelatnosti Javnog preduzeća je 9311 - Djelatnost sportskih objekata, bliže definisana odredbama Zakona o klasifikaciji delatnosti, odnosno pružanje usluga vrhunskom sportu, kroz stvaranje uslova za održiv razvoj sportske kulture (vrhunskog sporta) i svih drugih oblika sportsko-rekreativnih dešavanja. Svojom ponudom sportsko-rekreativnih programa iz oblasti dvoranskih i vodenih sportova obezbjeđujemo najbolje uslove za bavljenje sportom, kako za vrhunske sportiste, tako i za rekreativno bavljenje sportom i najmlađe uzrasne kategorije. Kroz raznovrsnost sportske ponude promovišemo zdrave stilove života i dajemo podsticaj razvoju vrhunskog sporta. </w:t>
      </w:r>
    </w:p>
    <w:p>
      <w:pPr>
        <w:ind w:firstLine="720"/>
        <w:jc w:val="both"/>
        <w:rPr>
          <w:sz w:val="24"/>
          <w:szCs w:val="24"/>
        </w:rPr>
      </w:pPr>
      <w:r>
        <w:rPr>
          <w:sz w:val="24"/>
          <w:szCs w:val="24"/>
          <w:lang w:val="sr-Latn-ME"/>
        </w:rPr>
        <w:t>Pored trajnog obavljanja navedenih poslovnih djelatnosti Preduzeća, tekući poslovni prihodi se dopunjuju uslugama izdavanja u zakup slobodnog poslovnog prostora, reklamnih prostora, kao i pružanjem ugostiteljskih usluga</w:t>
      </w:r>
      <w:r>
        <w:rPr>
          <w:sz w:val="24"/>
          <w:szCs w:val="24"/>
        </w:rPr>
        <w:t>.</w:t>
      </w:r>
    </w:p>
    <w:p>
      <w:pPr>
        <w:pStyle w:val="2"/>
        <w:numPr>
          <w:ilvl w:val="0"/>
          <w:numId w:val="2"/>
        </w:numPr>
        <w:jc w:val="center"/>
        <w:rPr>
          <w:rFonts w:hint="eastAsia" w:ascii="Lucida Sans Unicode" w:hAnsi="Lucida Sans Unicode" w:cs="Lucida Sans Unicode"/>
          <w:lang w:val="sr-Latn-ME"/>
        </w:rPr>
      </w:pPr>
      <w:bookmarkStart w:id="2" w:name="__RefHeading___Toc2262_3382316548"/>
      <w:bookmarkEnd w:id="2"/>
      <w:bookmarkStart w:id="3" w:name="_Toc160109704"/>
      <w:r>
        <w:rPr>
          <w:rFonts w:ascii="Lucida Sans Unicode" w:hAnsi="Lucida Sans Unicode" w:cs="Lucida Sans Unicode"/>
          <w:lang w:val="sr-Latn-ME"/>
        </w:rPr>
        <w:t>OSTVARENI POSLOVNI REZULTAT</w:t>
      </w:r>
      <w:bookmarkEnd w:id="3"/>
    </w:p>
    <w:p>
      <w:pPr>
        <w:ind w:firstLine="720"/>
        <w:rPr>
          <w:sz w:val="26"/>
          <w:szCs w:val="26"/>
        </w:rPr>
      </w:pPr>
    </w:p>
    <w:p>
      <w:pPr>
        <w:ind w:firstLine="390"/>
        <w:rPr>
          <w:sz w:val="24"/>
          <w:szCs w:val="24"/>
          <w:lang w:val="sr-Latn-ME"/>
        </w:rPr>
      </w:pPr>
      <w:r>
        <w:rPr>
          <w:sz w:val="24"/>
          <w:szCs w:val="24"/>
          <w:lang w:val="sr-Latn-ME"/>
        </w:rPr>
        <w:t>J.P. „Sportski centar Nikšić“ tokom 2023. godine ostvario je sljedeće prihode i rashode:</w:t>
      </w:r>
    </w:p>
    <w:p>
      <w:pPr>
        <w:ind w:firstLine="390"/>
      </w:pPr>
    </w:p>
    <w:p>
      <w:pPr>
        <w:jc w:val="center"/>
        <w:rPr>
          <w:sz w:val="20"/>
          <w:szCs w:val="26"/>
          <w:lang w:val="sr-Latn-ME"/>
        </w:rPr>
      </w:pPr>
      <w:r>
        <w:rPr>
          <w:i/>
          <w:sz w:val="20"/>
          <w:szCs w:val="26"/>
          <w:lang w:val="sr-Latn-ME"/>
        </w:rPr>
        <w:t>Tabela 1.1: Ostvareni prihodi u 2023 godini</w:t>
      </w:r>
    </w:p>
    <w:tbl>
      <w:tblPr>
        <w:tblStyle w:val="7"/>
        <w:tblW w:w="5000" w:type="pct"/>
        <w:jc w:val="center"/>
        <w:tblLayout w:type="fixed"/>
        <w:tblCellMar>
          <w:top w:w="0" w:type="dxa"/>
          <w:left w:w="108" w:type="dxa"/>
          <w:bottom w:w="0" w:type="dxa"/>
          <w:right w:w="108" w:type="dxa"/>
        </w:tblCellMar>
      </w:tblPr>
      <w:tblGrid>
        <w:gridCol w:w="962"/>
        <w:gridCol w:w="3778"/>
        <w:gridCol w:w="1821"/>
        <w:gridCol w:w="1822"/>
        <w:gridCol w:w="1435"/>
      </w:tblGrid>
      <w:tr>
        <w:tblPrEx>
          <w:tblCellMar>
            <w:top w:w="0" w:type="dxa"/>
            <w:left w:w="108" w:type="dxa"/>
            <w:bottom w:w="0" w:type="dxa"/>
            <w:right w:w="108" w:type="dxa"/>
          </w:tblCellMar>
        </w:tblPrEx>
        <w:trPr>
          <w:trHeight w:val="884" w:hRule="atLeast"/>
          <w:jc w:val="center"/>
        </w:trPr>
        <w:tc>
          <w:tcPr>
            <w:tcW w:w="941"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pPr>
            <w:r>
              <w:rPr>
                <w:b/>
                <w:lang w:val="sr-Latn-ME"/>
              </w:rPr>
              <w:t>R</w:t>
            </w:r>
            <w:r>
              <w:rPr>
                <w:b/>
              </w:rPr>
              <w:t xml:space="preserve">. </w:t>
            </w:r>
            <w:r>
              <w:rPr>
                <w:b/>
                <w:lang w:val="sr-Latn-ME"/>
              </w:rPr>
              <w:t>br</w:t>
            </w:r>
            <w:r>
              <w:rPr>
                <w:b/>
              </w:rPr>
              <w:t>.</w:t>
            </w:r>
          </w:p>
        </w:tc>
        <w:tc>
          <w:tcPr>
            <w:tcW w:w="3695"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rPr>
                <w:b/>
                <w:lang w:val="sr-Latn-ME"/>
              </w:rPr>
            </w:pPr>
            <w:r>
              <w:rPr>
                <w:b/>
                <w:lang w:val="sr-Latn-ME"/>
              </w:rPr>
              <w:t>Opis</w:t>
            </w:r>
          </w:p>
        </w:tc>
        <w:tc>
          <w:tcPr>
            <w:tcW w:w="1781"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rPr>
                <w:b/>
              </w:rPr>
            </w:pPr>
            <w:r>
              <w:rPr>
                <w:b/>
              </w:rPr>
              <w:t>2022 /  €</w:t>
            </w:r>
          </w:p>
        </w:tc>
        <w:tc>
          <w:tcPr>
            <w:tcW w:w="1782"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pPr>
            <w:r>
              <w:rPr>
                <w:b/>
              </w:rPr>
              <w:t>202</w:t>
            </w:r>
            <w:r>
              <w:rPr>
                <w:b/>
                <w:lang w:val="sr-Latn-ME"/>
              </w:rPr>
              <w:t>3</w:t>
            </w:r>
            <w:r>
              <w:rPr>
                <w:b/>
              </w:rPr>
              <w:t xml:space="preserve"> /  €</w:t>
            </w:r>
          </w:p>
        </w:tc>
        <w:tc>
          <w:tcPr>
            <w:tcW w:w="1403"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pPr>
            <w:r>
              <w:rPr>
                <w:b/>
                <w:lang w:val="sr-Latn-ME"/>
              </w:rPr>
              <w:t xml:space="preserve">Indeks </w:t>
            </w:r>
            <w:r>
              <w:rPr>
                <w:b/>
              </w:rPr>
              <w:t>202</w:t>
            </w:r>
            <w:r>
              <w:rPr>
                <w:b/>
                <w:lang w:val="sr-Latn-ME"/>
              </w:rPr>
              <w:t>3</w:t>
            </w:r>
            <w:r>
              <w:rPr>
                <w:b/>
              </w:rPr>
              <w:t>/202</w:t>
            </w:r>
            <w:r>
              <w:rPr>
                <w:b/>
                <w:lang w:val="sr-Latn-ME"/>
              </w:rPr>
              <w:t>2</w:t>
            </w:r>
          </w:p>
        </w:tc>
      </w:tr>
      <w:tr>
        <w:tblPrEx>
          <w:tblCellMar>
            <w:top w:w="0" w:type="dxa"/>
            <w:left w:w="108" w:type="dxa"/>
            <w:bottom w:w="0" w:type="dxa"/>
            <w:right w:w="108" w:type="dxa"/>
          </w:tblCellMar>
        </w:tblPrEx>
        <w:trPr>
          <w:trHeight w:val="561" w:hRule="atLeast"/>
          <w:jc w:val="center"/>
        </w:trPr>
        <w:tc>
          <w:tcPr>
            <w:tcW w:w="941" w:type="dxa"/>
            <w:tcBorders>
              <w:top w:val="double" w:color="000000" w:sz="4" w:space="0"/>
              <w:left w:val="double" w:color="000000" w:sz="4" w:space="0"/>
              <w:bottom w:val="single" w:color="000000" w:sz="4" w:space="0"/>
              <w:right w:val="single" w:color="000000" w:sz="4" w:space="0"/>
            </w:tcBorders>
            <w:vAlign w:val="center"/>
          </w:tcPr>
          <w:p>
            <w:pPr>
              <w:snapToGrid w:val="0"/>
              <w:jc w:val="center"/>
              <w:rPr>
                <w:b/>
              </w:rPr>
            </w:pPr>
          </w:p>
        </w:tc>
        <w:tc>
          <w:tcPr>
            <w:tcW w:w="3695" w:type="dxa"/>
            <w:tcBorders>
              <w:top w:val="double" w:color="000000" w:sz="4" w:space="0"/>
              <w:left w:val="single" w:color="000000" w:sz="4" w:space="0"/>
              <w:bottom w:val="single" w:color="000000" w:sz="4" w:space="0"/>
              <w:right w:val="single" w:color="000000" w:sz="4" w:space="0"/>
            </w:tcBorders>
            <w:vAlign w:val="center"/>
          </w:tcPr>
          <w:p>
            <w:pPr>
              <w:jc w:val="center"/>
              <w:rPr>
                <w:b/>
                <w:lang w:val="sr-Latn-ME"/>
              </w:rPr>
            </w:pPr>
            <w:r>
              <w:rPr>
                <w:b/>
                <w:lang w:val="sr-Latn-ME"/>
              </w:rPr>
              <w:t>Prihodi</w:t>
            </w:r>
          </w:p>
        </w:tc>
        <w:tc>
          <w:tcPr>
            <w:tcW w:w="1781" w:type="dxa"/>
            <w:tcBorders>
              <w:top w:val="double" w:color="000000" w:sz="4" w:space="0"/>
              <w:left w:val="single" w:color="000000" w:sz="4" w:space="0"/>
              <w:bottom w:val="single" w:color="000000" w:sz="4" w:space="0"/>
              <w:right w:val="single" w:color="000000" w:sz="4" w:space="0"/>
            </w:tcBorders>
            <w:vAlign w:val="center"/>
          </w:tcPr>
          <w:p>
            <w:pPr>
              <w:snapToGrid w:val="0"/>
              <w:jc w:val="center"/>
              <w:rPr>
                <w:b/>
              </w:rPr>
            </w:pPr>
          </w:p>
        </w:tc>
        <w:tc>
          <w:tcPr>
            <w:tcW w:w="1782" w:type="dxa"/>
            <w:tcBorders>
              <w:top w:val="double" w:color="000000" w:sz="4" w:space="0"/>
              <w:left w:val="single" w:color="000000" w:sz="4" w:space="0"/>
              <w:bottom w:val="single" w:color="000000" w:sz="4" w:space="0"/>
              <w:right w:val="single" w:color="000000" w:sz="4" w:space="0"/>
            </w:tcBorders>
            <w:vAlign w:val="center"/>
          </w:tcPr>
          <w:p>
            <w:pPr>
              <w:snapToGrid w:val="0"/>
              <w:jc w:val="center"/>
            </w:pPr>
          </w:p>
        </w:tc>
        <w:tc>
          <w:tcPr>
            <w:tcW w:w="1403" w:type="dxa"/>
            <w:tcBorders>
              <w:top w:val="double" w:color="000000" w:sz="4" w:space="0"/>
              <w:left w:val="single" w:color="000000" w:sz="4" w:space="0"/>
              <w:bottom w:val="single" w:color="000000" w:sz="4" w:space="0"/>
              <w:right w:val="double" w:color="000000" w:sz="4" w:space="0"/>
            </w:tcBorders>
            <w:vAlign w:val="center"/>
          </w:tcPr>
          <w:p>
            <w:pPr>
              <w:snapToGrid w:val="0"/>
              <w:jc w:val="center"/>
            </w:pPr>
          </w:p>
        </w:tc>
      </w:tr>
      <w:tr>
        <w:tblPrEx>
          <w:tblCellMar>
            <w:top w:w="0" w:type="dxa"/>
            <w:left w:w="108" w:type="dxa"/>
            <w:bottom w:w="0" w:type="dxa"/>
            <w:right w:w="108" w:type="dxa"/>
          </w:tblCellMar>
        </w:tblPrEx>
        <w:trPr>
          <w:trHeight w:val="519" w:hRule="atLeast"/>
          <w:jc w:val="center"/>
        </w:trPr>
        <w:tc>
          <w:tcPr>
            <w:tcW w:w="941" w:type="dxa"/>
            <w:tcBorders>
              <w:top w:val="single" w:color="000000" w:sz="4" w:space="0"/>
              <w:left w:val="double" w:color="000000" w:sz="4" w:space="0"/>
              <w:bottom w:val="single" w:color="000000" w:sz="4" w:space="0"/>
              <w:right w:val="single" w:color="000000" w:sz="4" w:space="0"/>
            </w:tcBorders>
            <w:vAlign w:val="center"/>
          </w:tcPr>
          <w:p>
            <w:pPr>
              <w:rPr>
                <w:b/>
                <w:bCs/>
              </w:rPr>
            </w:pPr>
            <w:r>
              <w:rPr>
                <w:b/>
                <w:bCs/>
              </w:rPr>
              <w:t>1.</w:t>
            </w:r>
          </w:p>
        </w:tc>
        <w:tc>
          <w:tcPr>
            <w:tcW w:w="3695" w:type="dxa"/>
            <w:tcBorders>
              <w:top w:val="single" w:color="000000" w:sz="4" w:space="0"/>
              <w:left w:val="single" w:color="000000" w:sz="4" w:space="0"/>
              <w:bottom w:val="single" w:color="000000" w:sz="4" w:space="0"/>
              <w:right w:val="single" w:color="000000" w:sz="4" w:space="0"/>
            </w:tcBorders>
            <w:vAlign w:val="center"/>
          </w:tcPr>
          <w:p>
            <w:pPr>
              <w:rPr>
                <w:b/>
                <w:lang w:val="sr-Latn-ME"/>
              </w:rPr>
            </w:pPr>
            <w:r>
              <w:rPr>
                <w:b/>
                <w:lang w:val="sr-Latn-ME"/>
              </w:rPr>
              <w:t>Osnovna djelatnost</w:t>
            </w:r>
          </w:p>
        </w:tc>
        <w:tc>
          <w:tcPr>
            <w:tcW w:w="1781" w:type="dxa"/>
            <w:tcBorders>
              <w:top w:val="single" w:color="000000" w:sz="4" w:space="0"/>
              <w:left w:val="single" w:color="000000" w:sz="4" w:space="0"/>
              <w:bottom w:val="single" w:color="000000" w:sz="4" w:space="0"/>
              <w:right w:val="single" w:color="000000" w:sz="4" w:space="0"/>
            </w:tcBorders>
            <w:vAlign w:val="center"/>
          </w:tcPr>
          <w:p>
            <w:pPr>
              <w:jc w:val="center"/>
            </w:pPr>
            <w:r>
              <w:t>3</w:t>
            </w:r>
            <w:r>
              <w:rPr>
                <w:lang w:val="sr-Latn-ME"/>
              </w:rPr>
              <w:t>25</w:t>
            </w:r>
            <w:r>
              <w:t>.</w:t>
            </w:r>
            <w:r>
              <w:rPr>
                <w:lang w:val="sr-Latn-ME"/>
              </w:rPr>
              <w:t>209</w:t>
            </w:r>
            <w:r>
              <w:t>,</w:t>
            </w:r>
            <w:r>
              <w:rPr>
                <w:lang w:val="sr-Latn-ME"/>
              </w:rPr>
              <w:t>02</w:t>
            </w:r>
          </w:p>
        </w:tc>
        <w:tc>
          <w:tcPr>
            <w:tcW w:w="1782" w:type="dxa"/>
            <w:tcBorders>
              <w:top w:val="single" w:color="000000" w:sz="4" w:space="0"/>
              <w:left w:val="single" w:color="000000" w:sz="4" w:space="0"/>
              <w:bottom w:val="single" w:color="000000" w:sz="4" w:space="0"/>
              <w:right w:val="single" w:color="000000" w:sz="4" w:space="0"/>
            </w:tcBorders>
            <w:vAlign w:val="center"/>
          </w:tcPr>
          <w:p>
            <w:pPr>
              <w:jc w:val="center"/>
            </w:pPr>
            <w:r>
              <w:t>3</w:t>
            </w:r>
            <w:r>
              <w:rPr>
                <w:lang w:val="sr-Latn-ME"/>
              </w:rPr>
              <w:t>48</w:t>
            </w:r>
            <w:r>
              <w:t>.</w:t>
            </w:r>
            <w:r>
              <w:rPr>
                <w:lang w:val="sr-Latn-ME"/>
              </w:rPr>
              <w:t>577</w:t>
            </w:r>
            <w:r>
              <w:t>,</w:t>
            </w:r>
            <w:r>
              <w:rPr>
                <w:lang w:val="sr-Latn-ME"/>
              </w:rPr>
              <w:t>87</w:t>
            </w:r>
          </w:p>
        </w:tc>
        <w:tc>
          <w:tcPr>
            <w:tcW w:w="1403" w:type="dxa"/>
            <w:tcBorders>
              <w:top w:val="single" w:color="000000" w:sz="4" w:space="0"/>
              <w:left w:val="single" w:color="000000" w:sz="4" w:space="0"/>
              <w:bottom w:val="single" w:color="000000" w:sz="4" w:space="0"/>
              <w:right w:val="double" w:color="000000" w:sz="4" w:space="0"/>
            </w:tcBorders>
            <w:vAlign w:val="center"/>
          </w:tcPr>
          <w:p>
            <w:pPr>
              <w:jc w:val="center"/>
              <w:rPr>
                <w:lang w:val="sr-Latn-ME"/>
              </w:rPr>
            </w:pPr>
            <w:r>
              <w:rPr>
                <w:lang w:val="sr-Latn-ME"/>
              </w:rPr>
              <w:t>107</w:t>
            </w:r>
          </w:p>
        </w:tc>
      </w:tr>
      <w:tr>
        <w:tblPrEx>
          <w:tblCellMar>
            <w:top w:w="0" w:type="dxa"/>
            <w:left w:w="108" w:type="dxa"/>
            <w:bottom w:w="0" w:type="dxa"/>
            <w:right w:w="108" w:type="dxa"/>
          </w:tblCellMar>
        </w:tblPrEx>
        <w:trPr>
          <w:trHeight w:val="519" w:hRule="atLeast"/>
          <w:jc w:val="center"/>
        </w:trPr>
        <w:tc>
          <w:tcPr>
            <w:tcW w:w="941" w:type="dxa"/>
            <w:tcBorders>
              <w:top w:val="single" w:color="000000" w:sz="4" w:space="0"/>
              <w:left w:val="double" w:color="000000" w:sz="4" w:space="0"/>
              <w:bottom w:val="single" w:color="000000" w:sz="4" w:space="0"/>
              <w:right w:val="single" w:color="000000" w:sz="4" w:space="0"/>
            </w:tcBorders>
            <w:vAlign w:val="center"/>
          </w:tcPr>
          <w:p>
            <w:pPr>
              <w:jc w:val="right"/>
            </w:pPr>
            <w:r>
              <w:t>1.1.</w:t>
            </w:r>
          </w:p>
        </w:tc>
        <w:tc>
          <w:tcPr>
            <w:tcW w:w="3695" w:type="dxa"/>
            <w:tcBorders>
              <w:top w:val="single" w:color="000000" w:sz="4" w:space="0"/>
              <w:left w:val="single" w:color="000000" w:sz="4" w:space="0"/>
              <w:bottom w:val="single" w:color="000000" w:sz="4" w:space="0"/>
              <w:right w:val="single" w:color="000000" w:sz="4" w:space="0"/>
            </w:tcBorders>
            <w:vAlign w:val="center"/>
          </w:tcPr>
          <w:p>
            <w:pPr>
              <w:rPr>
                <w:lang w:val="sr-Latn-ME"/>
              </w:rPr>
            </w:pPr>
            <w:r>
              <w:rPr>
                <w:lang w:val="sr-Latn-ME"/>
              </w:rPr>
              <w:t>Prihodi od izdavanja sportske dvorane</w:t>
            </w:r>
          </w:p>
        </w:tc>
        <w:tc>
          <w:tcPr>
            <w:tcW w:w="1781" w:type="dxa"/>
            <w:tcBorders>
              <w:top w:val="single" w:color="000000" w:sz="4" w:space="0"/>
              <w:left w:val="single" w:color="000000" w:sz="4" w:space="0"/>
              <w:bottom w:val="single" w:color="000000" w:sz="4" w:space="0"/>
              <w:right w:val="single" w:color="000000" w:sz="4" w:space="0"/>
            </w:tcBorders>
            <w:vAlign w:val="center"/>
          </w:tcPr>
          <w:p>
            <w:pPr>
              <w:jc w:val="center"/>
            </w:pPr>
            <w:r>
              <w:t>1</w:t>
            </w:r>
            <w:r>
              <w:rPr>
                <w:lang w:val="sr-Latn-ME"/>
              </w:rPr>
              <w:t>60</w:t>
            </w:r>
            <w:r>
              <w:t>.</w:t>
            </w:r>
            <w:r>
              <w:rPr>
                <w:lang w:val="sr-Latn-ME"/>
              </w:rPr>
              <w:t>267</w:t>
            </w:r>
            <w:r>
              <w:t>,</w:t>
            </w:r>
            <w:r>
              <w:rPr>
                <w:lang w:val="sr-Latn-ME"/>
              </w:rPr>
              <w:t>87</w:t>
            </w:r>
          </w:p>
        </w:tc>
        <w:tc>
          <w:tcPr>
            <w:tcW w:w="1782" w:type="dxa"/>
            <w:tcBorders>
              <w:top w:val="single" w:color="000000" w:sz="4" w:space="0"/>
              <w:left w:val="single" w:color="000000" w:sz="4" w:space="0"/>
              <w:bottom w:val="single" w:color="000000" w:sz="4" w:space="0"/>
              <w:right w:val="single" w:color="000000" w:sz="4" w:space="0"/>
            </w:tcBorders>
            <w:vAlign w:val="center"/>
          </w:tcPr>
          <w:p>
            <w:pPr>
              <w:jc w:val="center"/>
            </w:pPr>
            <w:r>
              <w:t>200.</w:t>
            </w:r>
            <w:r>
              <w:rPr>
                <w:lang w:val="sr-Latn-ME"/>
              </w:rPr>
              <w:t>262</w:t>
            </w:r>
            <w:r>
              <w:t>,</w:t>
            </w:r>
            <w:r>
              <w:rPr>
                <w:lang w:val="sr-Latn-ME"/>
              </w:rPr>
              <w:t>96</w:t>
            </w:r>
          </w:p>
        </w:tc>
        <w:tc>
          <w:tcPr>
            <w:tcW w:w="1403" w:type="dxa"/>
            <w:tcBorders>
              <w:top w:val="single" w:color="000000" w:sz="4" w:space="0"/>
              <w:left w:val="single" w:color="000000" w:sz="4" w:space="0"/>
              <w:bottom w:val="single" w:color="000000" w:sz="4" w:space="0"/>
              <w:right w:val="double" w:color="000000" w:sz="4" w:space="0"/>
            </w:tcBorders>
            <w:vAlign w:val="center"/>
          </w:tcPr>
          <w:p>
            <w:pPr>
              <w:jc w:val="center"/>
              <w:rPr>
                <w:lang w:val="sr-Latn-ME"/>
              </w:rPr>
            </w:pPr>
            <w:r>
              <w:rPr>
                <w:lang w:val="sr-Latn-ME"/>
              </w:rPr>
              <w:t>125</w:t>
            </w:r>
          </w:p>
        </w:tc>
      </w:tr>
      <w:tr>
        <w:tblPrEx>
          <w:tblCellMar>
            <w:top w:w="0" w:type="dxa"/>
            <w:left w:w="108" w:type="dxa"/>
            <w:bottom w:w="0" w:type="dxa"/>
            <w:right w:w="108" w:type="dxa"/>
          </w:tblCellMar>
        </w:tblPrEx>
        <w:trPr>
          <w:trHeight w:val="519" w:hRule="atLeast"/>
          <w:jc w:val="center"/>
        </w:trPr>
        <w:tc>
          <w:tcPr>
            <w:tcW w:w="941" w:type="dxa"/>
            <w:tcBorders>
              <w:top w:val="single" w:color="000000" w:sz="4" w:space="0"/>
              <w:left w:val="double" w:color="000000" w:sz="4" w:space="0"/>
              <w:bottom w:val="single" w:color="000000" w:sz="4" w:space="0"/>
              <w:right w:val="single" w:color="000000" w:sz="4" w:space="0"/>
            </w:tcBorders>
            <w:vAlign w:val="center"/>
          </w:tcPr>
          <w:p>
            <w:pPr>
              <w:jc w:val="right"/>
            </w:pPr>
            <w:r>
              <w:t>1.2.</w:t>
            </w:r>
          </w:p>
        </w:tc>
        <w:tc>
          <w:tcPr>
            <w:tcW w:w="3695" w:type="dxa"/>
            <w:tcBorders>
              <w:top w:val="single" w:color="000000" w:sz="4" w:space="0"/>
              <w:left w:val="single" w:color="000000" w:sz="4" w:space="0"/>
              <w:bottom w:val="single" w:color="000000" w:sz="4" w:space="0"/>
              <w:right w:val="single" w:color="000000" w:sz="4" w:space="0"/>
            </w:tcBorders>
            <w:vAlign w:val="center"/>
          </w:tcPr>
          <w:p>
            <w:pPr>
              <w:rPr>
                <w:lang w:val="sr-Latn-ME"/>
              </w:rPr>
            </w:pPr>
            <w:r>
              <w:rPr>
                <w:lang w:val="sr-Latn-ME"/>
              </w:rPr>
              <w:t>Prihodi od izdavanja bazena</w:t>
            </w:r>
          </w:p>
        </w:tc>
        <w:tc>
          <w:tcPr>
            <w:tcW w:w="1781" w:type="dxa"/>
            <w:tcBorders>
              <w:top w:val="single" w:color="000000" w:sz="4" w:space="0"/>
              <w:left w:val="single" w:color="000000" w:sz="4" w:space="0"/>
              <w:bottom w:val="single" w:color="000000" w:sz="4" w:space="0"/>
              <w:right w:val="single" w:color="000000" w:sz="4" w:space="0"/>
            </w:tcBorders>
            <w:vAlign w:val="center"/>
          </w:tcPr>
          <w:p>
            <w:pPr>
              <w:jc w:val="center"/>
            </w:pPr>
            <w:r>
              <w:rPr>
                <w:lang w:val="sr-Latn-ME"/>
              </w:rPr>
              <w:t>106</w:t>
            </w:r>
            <w:r>
              <w:t>.</w:t>
            </w:r>
            <w:r>
              <w:rPr>
                <w:lang w:val="sr-Latn-ME"/>
              </w:rPr>
              <w:t>569</w:t>
            </w:r>
            <w:r>
              <w:t>,8</w:t>
            </w:r>
            <w:r>
              <w:rPr>
                <w:lang w:val="sr-Latn-ME"/>
              </w:rPr>
              <w:t>9</w:t>
            </w:r>
          </w:p>
        </w:tc>
        <w:tc>
          <w:tcPr>
            <w:tcW w:w="1782" w:type="dxa"/>
            <w:tcBorders>
              <w:top w:val="single" w:color="000000" w:sz="4" w:space="0"/>
              <w:left w:val="single" w:color="000000" w:sz="4" w:space="0"/>
              <w:bottom w:val="single" w:color="000000" w:sz="4" w:space="0"/>
              <w:right w:val="single" w:color="000000" w:sz="4" w:space="0"/>
            </w:tcBorders>
            <w:vAlign w:val="center"/>
          </w:tcPr>
          <w:p>
            <w:pPr>
              <w:jc w:val="center"/>
            </w:pPr>
            <w:r>
              <w:rPr>
                <w:lang w:val="sr-Latn-ME"/>
              </w:rPr>
              <w:t>93</w:t>
            </w:r>
            <w:r>
              <w:t>.</w:t>
            </w:r>
            <w:r>
              <w:rPr>
                <w:lang w:val="sr-Latn-ME"/>
              </w:rPr>
              <w:t>387</w:t>
            </w:r>
            <w:r>
              <w:t>,8</w:t>
            </w:r>
            <w:r>
              <w:rPr>
                <w:lang w:val="sr-Latn-ME"/>
              </w:rPr>
              <w:t>9</w:t>
            </w:r>
          </w:p>
        </w:tc>
        <w:tc>
          <w:tcPr>
            <w:tcW w:w="1403" w:type="dxa"/>
            <w:tcBorders>
              <w:top w:val="single" w:color="000000" w:sz="4" w:space="0"/>
              <w:left w:val="single" w:color="000000" w:sz="4" w:space="0"/>
              <w:bottom w:val="single" w:color="000000" w:sz="4" w:space="0"/>
              <w:right w:val="double" w:color="000000" w:sz="4" w:space="0"/>
            </w:tcBorders>
            <w:vAlign w:val="center"/>
          </w:tcPr>
          <w:p>
            <w:pPr>
              <w:jc w:val="center"/>
            </w:pPr>
            <w:r>
              <w:t>88</w:t>
            </w:r>
          </w:p>
        </w:tc>
      </w:tr>
      <w:tr>
        <w:tblPrEx>
          <w:tblCellMar>
            <w:top w:w="0" w:type="dxa"/>
            <w:left w:w="108" w:type="dxa"/>
            <w:bottom w:w="0" w:type="dxa"/>
            <w:right w:w="108" w:type="dxa"/>
          </w:tblCellMar>
        </w:tblPrEx>
        <w:trPr>
          <w:trHeight w:val="519" w:hRule="atLeast"/>
          <w:jc w:val="center"/>
        </w:trPr>
        <w:tc>
          <w:tcPr>
            <w:tcW w:w="941" w:type="dxa"/>
            <w:tcBorders>
              <w:top w:val="single" w:color="000000" w:sz="4" w:space="0"/>
              <w:left w:val="double" w:color="000000" w:sz="4" w:space="0"/>
              <w:bottom w:val="single" w:color="000000" w:sz="4" w:space="0"/>
              <w:right w:val="single" w:color="000000" w:sz="4" w:space="0"/>
            </w:tcBorders>
            <w:vAlign w:val="center"/>
          </w:tcPr>
          <w:p>
            <w:pPr>
              <w:jc w:val="right"/>
            </w:pPr>
            <w:r>
              <w:t>1.3.</w:t>
            </w:r>
          </w:p>
        </w:tc>
        <w:tc>
          <w:tcPr>
            <w:tcW w:w="3695" w:type="dxa"/>
            <w:tcBorders>
              <w:top w:val="single" w:color="000000" w:sz="4" w:space="0"/>
              <w:left w:val="single" w:color="000000" w:sz="4" w:space="0"/>
              <w:bottom w:val="single" w:color="000000" w:sz="4" w:space="0"/>
              <w:right w:val="single" w:color="000000" w:sz="4" w:space="0"/>
            </w:tcBorders>
            <w:vAlign w:val="center"/>
          </w:tcPr>
          <w:p>
            <w:pPr>
              <w:rPr>
                <w:lang w:val="sr-Latn-ME"/>
              </w:rPr>
            </w:pPr>
            <w:r>
              <w:rPr>
                <w:lang w:val="sr-Latn-ME"/>
              </w:rPr>
              <w:t>Prihodi od izdavanja teretane</w:t>
            </w:r>
          </w:p>
        </w:tc>
        <w:tc>
          <w:tcPr>
            <w:tcW w:w="1781" w:type="dxa"/>
            <w:tcBorders>
              <w:top w:val="single" w:color="000000" w:sz="4" w:space="0"/>
              <w:left w:val="single" w:color="000000" w:sz="4" w:space="0"/>
              <w:bottom w:val="single" w:color="000000" w:sz="4" w:space="0"/>
              <w:right w:val="single" w:color="000000" w:sz="4" w:space="0"/>
            </w:tcBorders>
            <w:vAlign w:val="center"/>
          </w:tcPr>
          <w:p>
            <w:pPr>
              <w:jc w:val="center"/>
            </w:pPr>
            <w:r>
              <w:rPr>
                <w:lang w:val="sr-Latn-ME"/>
              </w:rPr>
              <w:t>3</w:t>
            </w:r>
            <w:r>
              <w:t>.</w:t>
            </w:r>
            <w:r>
              <w:rPr>
                <w:lang w:val="sr-Latn-ME"/>
              </w:rPr>
              <w:t>056</w:t>
            </w:r>
            <w:r>
              <w:t>,9</w:t>
            </w:r>
            <w:r>
              <w:rPr>
                <w:lang w:val="sr-Latn-ME"/>
              </w:rPr>
              <w:t>5</w:t>
            </w:r>
          </w:p>
        </w:tc>
        <w:tc>
          <w:tcPr>
            <w:tcW w:w="1782" w:type="dxa"/>
            <w:tcBorders>
              <w:top w:val="single" w:color="000000" w:sz="4" w:space="0"/>
              <w:left w:val="single" w:color="000000" w:sz="4" w:space="0"/>
              <w:bottom w:val="single" w:color="000000" w:sz="4" w:space="0"/>
              <w:right w:val="single" w:color="000000" w:sz="4" w:space="0"/>
            </w:tcBorders>
            <w:vAlign w:val="center"/>
          </w:tcPr>
          <w:p>
            <w:pPr>
              <w:jc w:val="center"/>
            </w:pPr>
            <w:r>
              <w:rPr>
                <w:lang w:val="sr-Latn-ME"/>
              </w:rPr>
              <w:t>2</w:t>
            </w:r>
            <w:r>
              <w:t>.</w:t>
            </w:r>
            <w:r>
              <w:rPr>
                <w:lang w:val="sr-Latn-ME"/>
              </w:rPr>
              <w:t>099</w:t>
            </w:r>
            <w:r>
              <w:t>,81</w:t>
            </w:r>
          </w:p>
        </w:tc>
        <w:tc>
          <w:tcPr>
            <w:tcW w:w="1403" w:type="dxa"/>
            <w:tcBorders>
              <w:top w:val="single" w:color="000000" w:sz="4" w:space="0"/>
              <w:left w:val="single" w:color="000000" w:sz="4" w:space="0"/>
              <w:bottom w:val="single" w:color="000000" w:sz="4" w:space="0"/>
              <w:right w:val="double" w:color="000000" w:sz="4" w:space="0"/>
            </w:tcBorders>
            <w:vAlign w:val="center"/>
          </w:tcPr>
          <w:p>
            <w:pPr>
              <w:jc w:val="center"/>
              <w:rPr>
                <w:lang w:val="sr-Latn-ME"/>
              </w:rPr>
            </w:pPr>
            <w:r>
              <w:rPr>
                <w:lang w:val="sr-Latn-ME"/>
              </w:rPr>
              <w:t>69</w:t>
            </w:r>
          </w:p>
        </w:tc>
      </w:tr>
      <w:tr>
        <w:tblPrEx>
          <w:tblCellMar>
            <w:top w:w="0" w:type="dxa"/>
            <w:left w:w="108" w:type="dxa"/>
            <w:bottom w:w="0" w:type="dxa"/>
            <w:right w:w="108" w:type="dxa"/>
          </w:tblCellMar>
        </w:tblPrEx>
        <w:trPr>
          <w:trHeight w:val="519" w:hRule="atLeast"/>
          <w:jc w:val="center"/>
        </w:trPr>
        <w:tc>
          <w:tcPr>
            <w:tcW w:w="941" w:type="dxa"/>
            <w:tcBorders>
              <w:top w:val="single" w:color="000000" w:sz="4" w:space="0"/>
              <w:left w:val="double" w:color="000000" w:sz="4" w:space="0"/>
              <w:bottom w:val="single" w:color="000000" w:sz="4" w:space="0"/>
              <w:right w:val="single" w:color="000000" w:sz="4" w:space="0"/>
            </w:tcBorders>
            <w:vAlign w:val="center"/>
          </w:tcPr>
          <w:p>
            <w:pPr>
              <w:jc w:val="right"/>
            </w:pPr>
            <w:r>
              <w:t>1.4.</w:t>
            </w:r>
          </w:p>
        </w:tc>
        <w:tc>
          <w:tcPr>
            <w:tcW w:w="3695" w:type="dxa"/>
            <w:tcBorders>
              <w:top w:val="single" w:color="000000" w:sz="4" w:space="0"/>
              <w:left w:val="single" w:color="000000" w:sz="4" w:space="0"/>
              <w:bottom w:val="single" w:color="000000" w:sz="4" w:space="0"/>
              <w:right w:val="single" w:color="000000" w:sz="4" w:space="0"/>
            </w:tcBorders>
            <w:vAlign w:val="center"/>
          </w:tcPr>
          <w:p>
            <w:pPr>
              <w:rPr>
                <w:lang w:val="sr-Latn-ME"/>
              </w:rPr>
            </w:pPr>
            <w:r>
              <w:rPr>
                <w:lang w:val="sr-Latn-ME"/>
              </w:rPr>
              <w:t>Prihodi od izdavanja fudbalskog terena</w:t>
            </w:r>
          </w:p>
        </w:tc>
        <w:tc>
          <w:tcPr>
            <w:tcW w:w="1781" w:type="dxa"/>
            <w:tcBorders>
              <w:top w:val="single" w:color="000000" w:sz="4" w:space="0"/>
              <w:left w:val="single" w:color="000000" w:sz="4" w:space="0"/>
              <w:bottom w:val="single" w:color="000000" w:sz="4" w:space="0"/>
              <w:right w:val="single" w:color="000000" w:sz="4" w:space="0"/>
            </w:tcBorders>
            <w:vAlign w:val="center"/>
          </w:tcPr>
          <w:p>
            <w:pPr>
              <w:jc w:val="center"/>
            </w:pPr>
            <w:r>
              <w:rPr>
                <w:lang w:val="sr-Latn-ME"/>
              </w:rPr>
              <w:t>5</w:t>
            </w:r>
            <w:r>
              <w:t>.</w:t>
            </w:r>
            <w:r>
              <w:rPr>
                <w:lang w:val="sr-Latn-ME"/>
              </w:rPr>
              <w:t>981</w:t>
            </w:r>
            <w:r>
              <w:t>,04</w:t>
            </w:r>
          </w:p>
        </w:tc>
        <w:tc>
          <w:tcPr>
            <w:tcW w:w="1782" w:type="dxa"/>
            <w:tcBorders>
              <w:top w:val="single" w:color="000000" w:sz="4" w:space="0"/>
              <w:left w:val="single" w:color="000000" w:sz="4" w:space="0"/>
              <w:bottom w:val="single" w:color="000000" w:sz="4" w:space="0"/>
              <w:right w:val="single" w:color="000000" w:sz="4" w:space="0"/>
            </w:tcBorders>
            <w:vAlign w:val="center"/>
          </w:tcPr>
          <w:p>
            <w:pPr>
              <w:jc w:val="center"/>
            </w:pPr>
            <w:r>
              <w:rPr>
                <w:lang w:val="sr-Latn-ME"/>
              </w:rPr>
              <w:t>7</w:t>
            </w:r>
            <w:r>
              <w:t>.</w:t>
            </w:r>
            <w:r>
              <w:rPr>
                <w:lang w:val="sr-Latn-ME"/>
              </w:rPr>
              <w:t>883</w:t>
            </w:r>
            <w:r>
              <w:t>,49</w:t>
            </w:r>
          </w:p>
        </w:tc>
        <w:tc>
          <w:tcPr>
            <w:tcW w:w="1403" w:type="dxa"/>
            <w:tcBorders>
              <w:top w:val="single" w:color="000000" w:sz="4" w:space="0"/>
              <w:left w:val="single" w:color="000000" w:sz="4" w:space="0"/>
              <w:bottom w:val="single" w:color="000000" w:sz="4" w:space="0"/>
              <w:right w:val="double" w:color="000000" w:sz="4" w:space="0"/>
            </w:tcBorders>
            <w:vAlign w:val="center"/>
          </w:tcPr>
          <w:p>
            <w:pPr>
              <w:jc w:val="center"/>
              <w:rPr>
                <w:lang w:val="sr-Latn-ME"/>
              </w:rPr>
            </w:pPr>
            <w:r>
              <w:rPr>
                <w:lang w:val="sr-Latn-ME"/>
              </w:rPr>
              <w:t>132</w:t>
            </w:r>
          </w:p>
        </w:tc>
      </w:tr>
      <w:tr>
        <w:tblPrEx>
          <w:tblCellMar>
            <w:top w:w="0" w:type="dxa"/>
            <w:left w:w="108" w:type="dxa"/>
            <w:bottom w:w="0" w:type="dxa"/>
            <w:right w:w="108" w:type="dxa"/>
          </w:tblCellMar>
        </w:tblPrEx>
        <w:trPr>
          <w:trHeight w:val="519" w:hRule="atLeast"/>
          <w:jc w:val="center"/>
        </w:trPr>
        <w:tc>
          <w:tcPr>
            <w:tcW w:w="941" w:type="dxa"/>
            <w:tcBorders>
              <w:top w:val="single" w:color="000000" w:sz="4" w:space="0"/>
              <w:left w:val="double" w:color="000000" w:sz="4" w:space="0"/>
              <w:bottom w:val="single" w:color="000000" w:sz="4" w:space="0"/>
              <w:right w:val="single" w:color="000000" w:sz="4" w:space="0"/>
            </w:tcBorders>
            <w:vAlign w:val="center"/>
          </w:tcPr>
          <w:p>
            <w:pPr>
              <w:jc w:val="right"/>
            </w:pPr>
            <w:r>
              <w:t>1.5.</w:t>
            </w:r>
          </w:p>
        </w:tc>
        <w:tc>
          <w:tcPr>
            <w:tcW w:w="3695" w:type="dxa"/>
            <w:tcBorders>
              <w:top w:val="single" w:color="000000" w:sz="4" w:space="0"/>
              <w:left w:val="single" w:color="000000" w:sz="4" w:space="0"/>
              <w:bottom w:val="single" w:color="000000" w:sz="4" w:space="0"/>
              <w:right w:val="single" w:color="000000" w:sz="4" w:space="0"/>
            </w:tcBorders>
            <w:vAlign w:val="center"/>
          </w:tcPr>
          <w:p>
            <w:pPr>
              <w:rPr>
                <w:lang w:val="sr-Latn-ME"/>
              </w:rPr>
            </w:pPr>
            <w:r>
              <w:rPr>
                <w:lang w:val="sr-Latn-ME"/>
              </w:rPr>
              <w:t>Prihodi od izdavanja teniskih terena</w:t>
            </w:r>
          </w:p>
        </w:tc>
        <w:tc>
          <w:tcPr>
            <w:tcW w:w="1781" w:type="dxa"/>
            <w:tcBorders>
              <w:top w:val="single" w:color="000000" w:sz="4" w:space="0"/>
              <w:left w:val="single" w:color="000000" w:sz="4" w:space="0"/>
              <w:bottom w:val="single" w:color="000000" w:sz="4" w:space="0"/>
              <w:right w:val="single" w:color="000000" w:sz="4" w:space="0"/>
            </w:tcBorders>
            <w:vAlign w:val="center"/>
          </w:tcPr>
          <w:p>
            <w:pPr>
              <w:jc w:val="center"/>
            </w:pPr>
            <w:r>
              <w:rPr>
                <w:lang w:val="sr-Latn-ME"/>
              </w:rPr>
              <w:t>327</w:t>
            </w:r>
            <w:r>
              <w:t>,</w:t>
            </w:r>
            <w:r>
              <w:rPr>
                <w:lang w:val="sr-Latn-ME"/>
              </w:rPr>
              <w:t>09</w:t>
            </w:r>
          </w:p>
        </w:tc>
        <w:tc>
          <w:tcPr>
            <w:tcW w:w="1782" w:type="dxa"/>
            <w:tcBorders>
              <w:top w:val="single" w:color="000000" w:sz="4" w:space="0"/>
              <w:left w:val="single" w:color="000000" w:sz="4" w:space="0"/>
              <w:bottom w:val="single" w:color="000000" w:sz="4" w:space="0"/>
              <w:right w:val="single" w:color="000000" w:sz="4" w:space="0"/>
            </w:tcBorders>
            <w:vAlign w:val="center"/>
          </w:tcPr>
          <w:p>
            <w:pPr>
              <w:jc w:val="center"/>
            </w:pPr>
            <w:r>
              <w:rPr>
                <w:lang w:val="sr-Latn-ME"/>
              </w:rPr>
              <w:t>976</w:t>
            </w:r>
            <w:r>
              <w:t>,</w:t>
            </w:r>
            <w:r>
              <w:rPr>
                <w:lang w:val="sr-Latn-ME"/>
              </w:rPr>
              <w:t>85</w:t>
            </w:r>
          </w:p>
        </w:tc>
        <w:tc>
          <w:tcPr>
            <w:tcW w:w="1403" w:type="dxa"/>
            <w:tcBorders>
              <w:top w:val="single" w:color="000000" w:sz="4" w:space="0"/>
              <w:left w:val="single" w:color="000000" w:sz="4" w:space="0"/>
              <w:bottom w:val="single" w:color="000000" w:sz="4" w:space="0"/>
              <w:right w:val="double" w:color="000000" w:sz="4" w:space="0"/>
            </w:tcBorders>
            <w:vAlign w:val="center"/>
          </w:tcPr>
          <w:p>
            <w:pPr>
              <w:jc w:val="center"/>
            </w:pPr>
            <w:r>
              <w:t>2</w:t>
            </w:r>
            <w:r>
              <w:rPr>
                <w:lang w:val="sr-Latn-ME"/>
              </w:rPr>
              <w:t>99</w:t>
            </w:r>
          </w:p>
        </w:tc>
      </w:tr>
      <w:tr>
        <w:tblPrEx>
          <w:tblCellMar>
            <w:top w:w="0" w:type="dxa"/>
            <w:left w:w="108" w:type="dxa"/>
            <w:bottom w:w="0" w:type="dxa"/>
            <w:right w:w="108" w:type="dxa"/>
          </w:tblCellMar>
        </w:tblPrEx>
        <w:trPr>
          <w:trHeight w:val="519" w:hRule="atLeast"/>
          <w:jc w:val="center"/>
        </w:trPr>
        <w:tc>
          <w:tcPr>
            <w:tcW w:w="941" w:type="dxa"/>
            <w:tcBorders>
              <w:top w:val="single" w:color="000000" w:sz="4" w:space="0"/>
              <w:left w:val="double" w:color="000000" w:sz="4" w:space="0"/>
              <w:bottom w:val="single" w:color="000000" w:sz="4" w:space="0"/>
              <w:right w:val="single" w:color="000000" w:sz="4" w:space="0"/>
            </w:tcBorders>
            <w:vAlign w:val="center"/>
          </w:tcPr>
          <w:p>
            <w:pPr>
              <w:jc w:val="right"/>
            </w:pPr>
            <w:r>
              <w:t>1.6.</w:t>
            </w:r>
          </w:p>
        </w:tc>
        <w:tc>
          <w:tcPr>
            <w:tcW w:w="3695" w:type="dxa"/>
            <w:tcBorders>
              <w:top w:val="single" w:color="000000" w:sz="4" w:space="0"/>
              <w:left w:val="single" w:color="000000" w:sz="4" w:space="0"/>
              <w:bottom w:val="single" w:color="000000" w:sz="4" w:space="0"/>
              <w:right w:val="single" w:color="000000" w:sz="4" w:space="0"/>
            </w:tcBorders>
            <w:vAlign w:val="center"/>
          </w:tcPr>
          <w:p>
            <w:pPr>
              <w:rPr>
                <w:lang w:val="sr-Latn-ME"/>
              </w:rPr>
            </w:pPr>
            <w:r>
              <w:rPr>
                <w:lang w:val="sr-Latn-ME"/>
              </w:rPr>
              <w:t>Prihodi od izdavanja poslovnih prostora</w:t>
            </w:r>
          </w:p>
        </w:tc>
        <w:tc>
          <w:tcPr>
            <w:tcW w:w="1781" w:type="dxa"/>
            <w:tcBorders>
              <w:top w:val="single" w:color="000000" w:sz="4" w:space="0"/>
              <w:left w:val="single" w:color="000000" w:sz="4" w:space="0"/>
              <w:bottom w:val="single" w:color="000000" w:sz="4" w:space="0"/>
              <w:right w:val="single" w:color="000000" w:sz="4" w:space="0"/>
            </w:tcBorders>
            <w:vAlign w:val="center"/>
          </w:tcPr>
          <w:p>
            <w:pPr>
              <w:jc w:val="center"/>
            </w:pPr>
            <w:r>
              <w:t>3</w:t>
            </w:r>
            <w:r>
              <w:rPr>
                <w:lang w:val="sr-Latn-ME"/>
              </w:rPr>
              <w:t>6</w:t>
            </w:r>
            <w:r>
              <w:t>.</w:t>
            </w:r>
            <w:r>
              <w:rPr>
                <w:lang w:val="sr-Latn-ME"/>
              </w:rPr>
              <w:t>754</w:t>
            </w:r>
            <w:r>
              <w:t>,45</w:t>
            </w:r>
          </w:p>
        </w:tc>
        <w:tc>
          <w:tcPr>
            <w:tcW w:w="1782" w:type="dxa"/>
            <w:tcBorders>
              <w:top w:val="single" w:color="000000" w:sz="4" w:space="0"/>
              <w:left w:val="single" w:color="000000" w:sz="4" w:space="0"/>
              <w:bottom w:val="single" w:color="000000" w:sz="4" w:space="0"/>
              <w:right w:val="single" w:color="000000" w:sz="4" w:space="0"/>
            </w:tcBorders>
            <w:vAlign w:val="center"/>
          </w:tcPr>
          <w:p>
            <w:pPr>
              <w:jc w:val="center"/>
            </w:pPr>
            <w:r>
              <w:t>3</w:t>
            </w:r>
            <w:r>
              <w:rPr>
                <w:lang w:val="sr-Latn-ME"/>
              </w:rPr>
              <w:t>4</w:t>
            </w:r>
            <w:r>
              <w:t>.</w:t>
            </w:r>
            <w:r>
              <w:rPr>
                <w:lang w:val="sr-Latn-ME"/>
              </w:rPr>
              <w:t>439</w:t>
            </w:r>
            <w:r>
              <w:t>,66</w:t>
            </w:r>
          </w:p>
        </w:tc>
        <w:tc>
          <w:tcPr>
            <w:tcW w:w="1403" w:type="dxa"/>
            <w:tcBorders>
              <w:top w:val="single" w:color="000000" w:sz="4" w:space="0"/>
              <w:left w:val="single" w:color="000000" w:sz="4" w:space="0"/>
              <w:bottom w:val="single" w:color="000000" w:sz="4" w:space="0"/>
              <w:right w:val="double" w:color="000000" w:sz="4" w:space="0"/>
            </w:tcBorders>
            <w:vAlign w:val="center"/>
          </w:tcPr>
          <w:p>
            <w:pPr>
              <w:jc w:val="center"/>
            </w:pPr>
            <w:r>
              <w:t>9</w:t>
            </w:r>
            <w:r>
              <w:rPr>
                <w:lang w:val="sr-Latn-ME"/>
              </w:rPr>
              <w:t>4</w:t>
            </w:r>
          </w:p>
        </w:tc>
      </w:tr>
      <w:tr>
        <w:tblPrEx>
          <w:tblCellMar>
            <w:top w:w="0" w:type="dxa"/>
            <w:left w:w="108" w:type="dxa"/>
            <w:bottom w:w="0" w:type="dxa"/>
            <w:right w:w="108" w:type="dxa"/>
          </w:tblCellMar>
        </w:tblPrEx>
        <w:trPr>
          <w:trHeight w:val="519" w:hRule="atLeast"/>
          <w:jc w:val="center"/>
        </w:trPr>
        <w:tc>
          <w:tcPr>
            <w:tcW w:w="941" w:type="dxa"/>
            <w:tcBorders>
              <w:top w:val="single" w:color="000000" w:sz="4" w:space="0"/>
              <w:left w:val="double" w:color="000000" w:sz="4" w:space="0"/>
              <w:bottom w:val="single" w:color="000000" w:sz="4" w:space="0"/>
              <w:right w:val="single" w:color="000000" w:sz="4" w:space="0"/>
            </w:tcBorders>
            <w:vAlign w:val="center"/>
          </w:tcPr>
          <w:p>
            <w:pPr>
              <w:jc w:val="right"/>
            </w:pPr>
            <w:r>
              <w:t>1.7.</w:t>
            </w:r>
          </w:p>
        </w:tc>
        <w:tc>
          <w:tcPr>
            <w:tcW w:w="3695" w:type="dxa"/>
            <w:tcBorders>
              <w:top w:val="single" w:color="000000" w:sz="4" w:space="0"/>
              <w:left w:val="single" w:color="000000" w:sz="4" w:space="0"/>
              <w:bottom w:val="single" w:color="000000" w:sz="4" w:space="0"/>
              <w:right w:val="single" w:color="000000" w:sz="4" w:space="0"/>
            </w:tcBorders>
            <w:vAlign w:val="center"/>
          </w:tcPr>
          <w:p>
            <w:pPr>
              <w:rPr>
                <w:lang w:val="sr-Latn-ME"/>
              </w:rPr>
            </w:pPr>
            <w:r>
              <w:rPr>
                <w:lang w:val="sr-Latn-ME"/>
              </w:rPr>
              <w:t>Prihodi od izdavanja reklamnih prostora</w:t>
            </w:r>
          </w:p>
        </w:tc>
        <w:tc>
          <w:tcPr>
            <w:tcW w:w="1781" w:type="dxa"/>
            <w:tcBorders>
              <w:top w:val="single" w:color="000000" w:sz="4" w:space="0"/>
              <w:left w:val="single" w:color="000000" w:sz="4" w:space="0"/>
              <w:bottom w:val="single" w:color="000000" w:sz="4" w:space="0"/>
              <w:right w:val="single" w:color="000000" w:sz="4" w:space="0"/>
            </w:tcBorders>
            <w:vAlign w:val="center"/>
          </w:tcPr>
          <w:p>
            <w:pPr>
              <w:jc w:val="center"/>
            </w:pPr>
            <w:r>
              <w:t>10.</w:t>
            </w:r>
            <w:r>
              <w:rPr>
                <w:lang w:val="sr-Latn-ME"/>
              </w:rPr>
              <w:t>495</w:t>
            </w:r>
            <w:r>
              <w:t>,</w:t>
            </w:r>
            <w:r>
              <w:rPr>
                <w:lang w:val="sr-Latn-ME"/>
              </w:rPr>
              <w:t>04</w:t>
            </w:r>
          </w:p>
        </w:tc>
        <w:tc>
          <w:tcPr>
            <w:tcW w:w="1782" w:type="dxa"/>
            <w:tcBorders>
              <w:top w:val="single" w:color="000000" w:sz="4" w:space="0"/>
              <w:left w:val="single" w:color="000000" w:sz="4" w:space="0"/>
              <w:bottom w:val="single" w:color="000000" w:sz="4" w:space="0"/>
              <w:right w:val="single" w:color="000000" w:sz="4" w:space="0"/>
            </w:tcBorders>
            <w:vAlign w:val="center"/>
          </w:tcPr>
          <w:p>
            <w:pPr>
              <w:jc w:val="center"/>
            </w:pPr>
            <w:r>
              <w:t>8.</w:t>
            </w:r>
            <w:r>
              <w:rPr>
                <w:lang w:val="sr-Latn-ME"/>
              </w:rPr>
              <w:t>012</w:t>
            </w:r>
            <w:r>
              <w:t>,</w:t>
            </w:r>
            <w:r>
              <w:rPr>
                <w:lang w:val="sr-Latn-ME"/>
              </w:rPr>
              <w:t>54</w:t>
            </w:r>
          </w:p>
        </w:tc>
        <w:tc>
          <w:tcPr>
            <w:tcW w:w="1403" w:type="dxa"/>
            <w:tcBorders>
              <w:top w:val="single" w:color="000000" w:sz="4" w:space="0"/>
              <w:left w:val="single" w:color="000000" w:sz="4" w:space="0"/>
              <w:bottom w:val="single" w:color="000000" w:sz="4" w:space="0"/>
              <w:right w:val="double" w:color="000000" w:sz="4" w:space="0"/>
            </w:tcBorders>
            <w:vAlign w:val="center"/>
          </w:tcPr>
          <w:p>
            <w:pPr>
              <w:jc w:val="center"/>
            </w:pPr>
            <w:r>
              <w:t>76</w:t>
            </w:r>
          </w:p>
        </w:tc>
      </w:tr>
      <w:tr>
        <w:tblPrEx>
          <w:tblCellMar>
            <w:top w:w="0" w:type="dxa"/>
            <w:left w:w="108" w:type="dxa"/>
            <w:bottom w:w="0" w:type="dxa"/>
            <w:right w:w="108" w:type="dxa"/>
          </w:tblCellMar>
        </w:tblPrEx>
        <w:trPr>
          <w:trHeight w:val="519" w:hRule="atLeast"/>
          <w:jc w:val="center"/>
        </w:trPr>
        <w:tc>
          <w:tcPr>
            <w:tcW w:w="941" w:type="dxa"/>
            <w:tcBorders>
              <w:top w:val="single" w:color="000000" w:sz="4" w:space="0"/>
              <w:left w:val="double" w:color="000000" w:sz="4" w:space="0"/>
              <w:bottom w:val="single" w:color="000000" w:sz="4" w:space="0"/>
              <w:right w:val="single" w:color="000000" w:sz="4" w:space="0"/>
            </w:tcBorders>
            <w:vAlign w:val="center"/>
          </w:tcPr>
          <w:p>
            <w:pPr>
              <w:jc w:val="right"/>
            </w:pPr>
            <w:r>
              <w:t>1.8.</w:t>
            </w:r>
          </w:p>
        </w:tc>
        <w:tc>
          <w:tcPr>
            <w:tcW w:w="3695" w:type="dxa"/>
            <w:tcBorders>
              <w:top w:val="single" w:color="000000" w:sz="4" w:space="0"/>
              <w:left w:val="single" w:color="000000" w:sz="4" w:space="0"/>
              <w:bottom w:val="single" w:color="000000" w:sz="4" w:space="0"/>
              <w:right w:val="single" w:color="000000" w:sz="4" w:space="0"/>
            </w:tcBorders>
            <w:vAlign w:val="center"/>
          </w:tcPr>
          <w:p>
            <w:pPr>
              <w:rPr>
                <w:lang w:val="sr-Latn-ME"/>
              </w:rPr>
            </w:pPr>
            <w:r>
              <w:rPr>
                <w:lang w:val="sr-Latn-ME"/>
              </w:rPr>
              <w:t>Prihodi od izdavanja streljane</w:t>
            </w:r>
          </w:p>
        </w:tc>
        <w:tc>
          <w:tcPr>
            <w:tcW w:w="1781" w:type="dxa"/>
            <w:tcBorders>
              <w:top w:val="single" w:color="000000" w:sz="4" w:space="0"/>
              <w:left w:val="single" w:color="000000" w:sz="4" w:space="0"/>
              <w:bottom w:val="single" w:color="000000" w:sz="4" w:space="0"/>
              <w:right w:val="single" w:color="000000" w:sz="4" w:space="0"/>
            </w:tcBorders>
            <w:vAlign w:val="center"/>
          </w:tcPr>
          <w:p>
            <w:pPr>
              <w:jc w:val="center"/>
            </w:pPr>
            <w:r>
              <w:rPr>
                <w:lang w:val="sr-Latn-ME"/>
              </w:rPr>
              <w:t>1.</w:t>
            </w:r>
            <w:r>
              <w:t>7</w:t>
            </w:r>
            <w:r>
              <w:rPr>
                <w:lang w:val="sr-Latn-ME"/>
              </w:rPr>
              <w:t>56</w:t>
            </w:r>
            <w:r>
              <w:t>,</w:t>
            </w:r>
            <w:r>
              <w:rPr>
                <w:lang w:val="sr-Latn-ME"/>
              </w:rPr>
              <w:t>69</w:t>
            </w:r>
          </w:p>
        </w:tc>
        <w:tc>
          <w:tcPr>
            <w:tcW w:w="1782" w:type="dxa"/>
            <w:tcBorders>
              <w:top w:val="single" w:color="000000" w:sz="4" w:space="0"/>
              <w:left w:val="single" w:color="000000" w:sz="4" w:space="0"/>
              <w:bottom w:val="single" w:color="000000" w:sz="4" w:space="0"/>
              <w:right w:val="single" w:color="000000" w:sz="4" w:space="0"/>
            </w:tcBorders>
            <w:vAlign w:val="center"/>
          </w:tcPr>
          <w:p>
            <w:pPr>
              <w:jc w:val="center"/>
            </w:pPr>
            <w:r>
              <w:rPr>
                <w:lang w:val="sr-Latn-ME"/>
              </w:rPr>
              <w:t>1.</w:t>
            </w:r>
            <w:r>
              <w:t>514,</w:t>
            </w:r>
            <w:r>
              <w:rPr>
                <w:lang w:val="sr-Latn-ME"/>
              </w:rPr>
              <w:t>67</w:t>
            </w:r>
          </w:p>
        </w:tc>
        <w:tc>
          <w:tcPr>
            <w:tcW w:w="1403" w:type="dxa"/>
            <w:tcBorders>
              <w:top w:val="single" w:color="000000" w:sz="4" w:space="0"/>
              <w:left w:val="single" w:color="000000" w:sz="4" w:space="0"/>
              <w:bottom w:val="single" w:color="000000" w:sz="4" w:space="0"/>
              <w:right w:val="double" w:color="000000" w:sz="4" w:space="0"/>
            </w:tcBorders>
            <w:vAlign w:val="center"/>
          </w:tcPr>
          <w:p>
            <w:pPr>
              <w:jc w:val="center"/>
              <w:rPr>
                <w:lang w:val="sr-Latn-ME"/>
              </w:rPr>
            </w:pPr>
            <w:r>
              <w:rPr>
                <w:lang w:val="sr-Latn-ME"/>
              </w:rPr>
              <w:t>86</w:t>
            </w:r>
          </w:p>
        </w:tc>
      </w:tr>
      <w:tr>
        <w:tblPrEx>
          <w:tblCellMar>
            <w:top w:w="0" w:type="dxa"/>
            <w:left w:w="108" w:type="dxa"/>
            <w:bottom w:w="0" w:type="dxa"/>
            <w:right w:w="108" w:type="dxa"/>
          </w:tblCellMar>
        </w:tblPrEx>
        <w:trPr>
          <w:trHeight w:val="519" w:hRule="atLeast"/>
          <w:jc w:val="center"/>
        </w:trPr>
        <w:tc>
          <w:tcPr>
            <w:tcW w:w="941" w:type="dxa"/>
            <w:tcBorders>
              <w:top w:val="single" w:color="000000" w:sz="4" w:space="0"/>
              <w:left w:val="double" w:color="000000" w:sz="4" w:space="0"/>
              <w:bottom w:val="single" w:color="000000" w:sz="4" w:space="0"/>
              <w:right w:val="single" w:color="000000" w:sz="4" w:space="0"/>
            </w:tcBorders>
            <w:vAlign w:val="center"/>
          </w:tcPr>
          <w:p>
            <w:pPr>
              <w:rPr>
                <w:b/>
                <w:bCs/>
              </w:rPr>
            </w:pPr>
            <w:r>
              <w:rPr>
                <w:b/>
                <w:bCs/>
              </w:rPr>
              <w:t>2.</w:t>
            </w:r>
          </w:p>
        </w:tc>
        <w:tc>
          <w:tcPr>
            <w:tcW w:w="3695" w:type="dxa"/>
            <w:tcBorders>
              <w:top w:val="single" w:color="000000" w:sz="4" w:space="0"/>
              <w:left w:val="single" w:color="000000" w:sz="4" w:space="0"/>
              <w:bottom w:val="single" w:color="000000" w:sz="4" w:space="0"/>
              <w:right w:val="single" w:color="000000" w:sz="4" w:space="0"/>
            </w:tcBorders>
            <w:vAlign w:val="center"/>
          </w:tcPr>
          <w:p>
            <w:pPr>
              <w:rPr>
                <w:b/>
                <w:bCs/>
                <w:lang w:val="sr-Latn-ME"/>
              </w:rPr>
            </w:pPr>
            <w:r>
              <w:rPr>
                <w:b/>
                <w:bCs/>
                <w:lang w:val="sr-Latn-ME"/>
              </w:rPr>
              <w:t>Prihodi od ugostiteljskih usluga</w:t>
            </w:r>
          </w:p>
        </w:tc>
        <w:tc>
          <w:tcPr>
            <w:tcW w:w="1781" w:type="dxa"/>
            <w:tcBorders>
              <w:top w:val="single" w:color="000000" w:sz="4" w:space="0"/>
              <w:left w:val="single" w:color="000000" w:sz="4" w:space="0"/>
              <w:bottom w:val="single" w:color="000000" w:sz="4" w:space="0"/>
              <w:right w:val="single" w:color="000000" w:sz="4" w:space="0"/>
            </w:tcBorders>
            <w:vAlign w:val="center"/>
          </w:tcPr>
          <w:p>
            <w:pPr>
              <w:jc w:val="center"/>
            </w:pPr>
            <w:r>
              <w:rPr>
                <w:lang w:val="sr-Latn-ME"/>
              </w:rPr>
              <w:t>21</w:t>
            </w:r>
            <w:r>
              <w:t>.</w:t>
            </w:r>
            <w:r>
              <w:rPr>
                <w:lang w:val="sr-Latn-ME"/>
              </w:rPr>
              <w:t>160</w:t>
            </w:r>
            <w:r>
              <w:t>,</w:t>
            </w:r>
            <w:r>
              <w:rPr>
                <w:lang w:val="sr-Latn-ME"/>
              </w:rPr>
              <w:t>50</w:t>
            </w:r>
          </w:p>
        </w:tc>
        <w:tc>
          <w:tcPr>
            <w:tcW w:w="1782" w:type="dxa"/>
            <w:tcBorders>
              <w:top w:val="single" w:color="000000" w:sz="4" w:space="0"/>
              <w:left w:val="single" w:color="000000" w:sz="4" w:space="0"/>
              <w:bottom w:val="single" w:color="000000" w:sz="4" w:space="0"/>
              <w:right w:val="single" w:color="000000" w:sz="4" w:space="0"/>
            </w:tcBorders>
            <w:vAlign w:val="center"/>
          </w:tcPr>
          <w:p>
            <w:pPr>
              <w:jc w:val="center"/>
            </w:pPr>
            <w:r>
              <w:rPr>
                <w:lang w:val="sr-Latn-ME"/>
              </w:rPr>
              <w:t>14</w:t>
            </w:r>
            <w:r>
              <w:t>.</w:t>
            </w:r>
            <w:r>
              <w:rPr>
                <w:lang w:val="sr-Latn-ME"/>
              </w:rPr>
              <w:t>108</w:t>
            </w:r>
            <w:r>
              <w:t>,</w:t>
            </w:r>
            <w:r>
              <w:rPr>
                <w:lang w:val="sr-Latn-ME"/>
              </w:rPr>
              <w:t>06</w:t>
            </w:r>
          </w:p>
        </w:tc>
        <w:tc>
          <w:tcPr>
            <w:tcW w:w="1403" w:type="dxa"/>
            <w:tcBorders>
              <w:top w:val="single" w:color="000000" w:sz="4" w:space="0"/>
              <w:left w:val="single" w:color="000000" w:sz="4" w:space="0"/>
              <w:bottom w:val="single" w:color="000000" w:sz="4" w:space="0"/>
              <w:right w:val="double" w:color="000000" w:sz="4" w:space="0"/>
            </w:tcBorders>
            <w:vAlign w:val="center"/>
          </w:tcPr>
          <w:p>
            <w:pPr>
              <w:jc w:val="center"/>
            </w:pPr>
            <w:r>
              <w:rPr>
                <w:lang w:val="sr-Latn-ME"/>
              </w:rPr>
              <w:t>67</w:t>
            </w:r>
          </w:p>
        </w:tc>
      </w:tr>
      <w:tr>
        <w:tblPrEx>
          <w:tblCellMar>
            <w:top w:w="0" w:type="dxa"/>
            <w:left w:w="108" w:type="dxa"/>
            <w:bottom w:w="0" w:type="dxa"/>
            <w:right w:w="108" w:type="dxa"/>
          </w:tblCellMar>
        </w:tblPrEx>
        <w:trPr>
          <w:trHeight w:val="841" w:hRule="atLeast"/>
          <w:jc w:val="center"/>
        </w:trPr>
        <w:tc>
          <w:tcPr>
            <w:tcW w:w="941" w:type="dxa"/>
            <w:tcBorders>
              <w:top w:val="single" w:color="000000" w:sz="4" w:space="0"/>
              <w:left w:val="double" w:color="000000" w:sz="4" w:space="0"/>
              <w:bottom w:val="single" w:color="000000" w:sz="4" w:space="0"/>
              <w:right w:val="single" w:color="000000" w:sz="4" w:space="0"/>
            </w:tcBorders>
            <w:vAlign w:val="center"/>
          </w:tcPr>
          <w:p>
            <w:pPr>
              <w:rPr>
                <w:b/>
                <w:bCs/>
              </w:rPr>
            </w:pPr>
            <w:r>
              <w:rPr>
                <w:b/>
                <w:bCs/>
              </w:rPr>
              <w:t>3.</w:t>
            </w:r>
          </w:p>
        </w:tc>
        <w:tc>
          <w:tcPr>
            <w:tcW w:w="3695" w:type="dxa"/>
            <w:tcBorders>
              <w:top w:val="single" w:color="000000" w:sz="4" w:space="0"/>
              <w:left w:val="single" w:color="000000" w:sz="4" w:space="0"/>
              <w:bottom w:val="single" w:color="000000" w:sz="4" w:space="0"/>
              <w:right w:val="single" w:color="000000" w:sz="4" w:space="0"/>
            </w:tcBorders>
            <w:vAlign w:val="center"/>
          </w:tcPr>
          <w:p>
            <w:pPr>
              <w:rPr>
                <w:b/>
                <w:bCs/>
                <w:lang w:val="sr-Latn-ME"/>
              </w:rPr>
            </w:pPr>
            <w:r>
              <w:rPr>
                <w:b/>
                <w:bCs/>
                <w:lang w:val="sr-Latn-ME"/>
              </w:rPr>
              <w:t>Prihodi od dotacija - redovno finansiranje iz budžeta Opštine Nikšić</w:t>
            </w:r>
          </w:p>
        </w:tc>
        <w:tc>
          <w:tcPr>
            <w:tcW w:w="1781" w:type="dxa"/>
            <w:tcBorders>
              <w:top w:val="single" w:color="000000" w:sz="4" w:space="0"/>
              <w:left w:val="single" w:color="000000" w:sz="4" w:space="0"/>
              <w:bottom w:val="single" w:color="000000" w:sz="4" w:space="0"/>
              <w:right w:val="single" w:color="000000" w:sz="4" w:space="0"/>
            </w:tcBorders>
            <w:vAlign w:val="center"/>
          </w:tcPr>
          <w:p>
            <w:pPr>
              <w:jc w:val="center"/>
            </w:pPr>
            <w:r>
              <w:rPr>
                <w:lang w:val="sr-Latn-ME"/>
              </w:rPr>
              <w:t>635</w:t>
            </w:r>
            <w:r>
              <w:t>.</w:t>
            </w:r>
            <w:r>
              <w:rPr>
                <w:lang w:val="sr-Latn-ME"/>
              </w:rPr>
              <w:t>76</w:t>
            </w:r>
            <w:r>
              <w:t>0,00</w:t>
            </w:r>
          </w:p>
        </w:tc>
        <w:tc>
          <w:tcPr>
            <w:tcW w:w="1782" w:type="dxa"/>
            <w:tcBorders>
              <w:top w:val="single" w:color="000000" w:sz="4" w:space="0"/>
              <w:left w:val="single" w:color="000000" w:sz="4" w:space="0"/>
              <w:bottom w:val="single" w:color="000000" w:sz="4" w:space="0"/>
              <w:right w:val="single" w:color="000000" w:sz="4" w:space="0"/>
            </w:tcBorders>
            <w:vAlign w:val="center"/>
          </w:tcPr>
          <w:p>
            <w:pPr>
              <w:jc w:val="center"/>
            </w:pPr>
            <w:r>
              <w:rPr>
                <w:lang w:val="sr-Latn-ME"/>
              </w:rPr>
              <w:t>580</w:t>
            </w:r>
            <w:r>
              <w:t>.</w:t>
            </w:r>
            <w:r>
              <w:rPr>
                <w:lang w:val="sr-Latn-ME"/>
              </w:rPr>
              <w:t>00</w:t>
            </w:r>
            <w:r>
              <w:t>0,00</w:t>
            </w:r>
          </w:p>
        </w:tc>
        <w:tc>
          <w:tcPr>
            <w:tcW w:w="1403" w:type="dxa"/>
            <w:tcBorders>
              <w:top w:val="single" w:color="000000" w:sz="4" w:space="0"/>
              <w:left w:val="single" w:color="000000" w:sz="4" w:space="0"/>
              <w:bottom w:val="single" w:color="000000" w:sz="4" w:space="0"/>
              <w:right w:val="double" w:color="000000" w:sz="4" w:space="0"/>
            </w:tcBorders>
            <w:vAlign w:val="center"/>
          </w:tcPr>
          <w:p>
            <w:pPr>
              <w:jc w:val="center"/>
            </w:pPr>
            <w:r>
              <w:t>91</w:t>
            </w:r>
          </w:p>
        </w:tc>
      </w:tr>
      <w:tr>
        <w:tblPrEx>
          <w:tblCellMar>
            <w:top w:w="0" w:type="dxa"/>
            <w:left w:w="108" w:type="dxa"/>
            <w:bottom w:w="0" w:type="dxa"/>
            <w:right w:w="108" w:type="dxa"/>
          </w:tblCellMar>
        </w:tblPrEx>
        <w:trPr>
          <w:trHeight w:val="841" w:hRule="atLeast"/>
          <w:jc w:val="center"/>
        </w:trPr>
        <w:tc>
          <w:tcPr>
            <w:tcW w:w="941" w:type="dxa"/>
            <w:tcBorders>
              <w:top w:val="single" w:color="000000" w:sz="4" w:space="0"/>
              <w:left w:val="double" w:color="000000" w:sz="4" w:space="0"/>
              <w:bottom w:val="single" w:color="000000" w:sz="4" w:space="0"/>
              <w:right w:val="single" w:color="000000" w:sz="4" w:space="0"/>
            </w:tcBorders>
            <w:vAlign w:val="center"/>
          </w:tcPr>
          <w:p>
            <w:pPr>
              <w:rPr>
                <w:b/>
                <w:bCs/>
              </w:rPr>
            </w:pPr>
            <w:r>
              <w:rPr>
                <w:b/>
                <w:bCs/>
              </w:rPr>
              <w:t>4.</w:t>
            </w:r>
          </w:p>
        </w:tc>
        <w:tc>
          <w:tcPr>
            <w:tcW w:w="3695" w:type="dxa"/>
            <w:tcBorders>
              <w:top w:val="single" w:color="000000" w:sz="4" w:space="0"/>
              <w:left w:val="single" w:color="000000" w:sz="4" w:space="0"/>
              <w:bottom w:val="single" w:color="000000" w:sz="4" w:space="0"/>
              <w:right w:val="single" w:color="000000" w:sz="4" w:space="0"/>
            </w:tcBorders>
            <w:vAlign w:val="center"/>
          </w:tcPr>
          <w:p>
            <w:pPr>
              <w:rPr>
                <w:b/>
                <w:bCs/>
                <w:lang w:val="sr-Latn-ME"/>
              </w:rPr>
            </w:pPr>
            <w:r>
              <w:rPr>
                <w:b/>
                <w:bCs/>
                <w:lang w:val="sr-Latn-ME"/>
              </w:rPr>
              <w:t>Prihodi od donacija - pomoć Vlade i državna davanja</w:t>
            </w:r>
          </w:p>
        </w:tc>
        <w:tc>
          <w:tcPr>
            <w:tcW w:w="1781" w:type="dxa"/>
            <w:tcBorders>
              <w:top w:val="single" w:color="000000" w:sz="4" w:space="0"/>
              <w:left w:val="single" w:color="000000" w:sz="4" w:space="0"/>
              <w:bottom w:val="single" w:color="000000" w:sz="4" w:space="0"/>
              <w:right w:val="single" w:color="000000" w:sz="4" w:space="0"/>
            </w:tcBorders>
            <w:vAlign w:val="center"/>
          </w:tcPr>
          <w:p>
            <w:pPr>
              <w:jc w:val="center"/>
            </w:pPr>
            <w:r>
              <w:t>20</w:t>
            </w:r>
            <w:r>
              <w:rPr>
                <w:lang w:val="sr-Latn-ME"/>
              </w:rPr>
              <w:t>8</w:t>
            </w:r>
            <w:r>
              <w:t>.</w:t>
            </w:r>
            <w:r>
              <w:rPr>
                <w:lang w:val="sr-Latn-ME"/>
              </w:rPr>
              <w:t>628</w:t>
            </w:r>
            <w:r>
              <w:t>,</w:t>
            </w:r>
            <w:r>
              <w:rPr>
                <w:lang w:val="sr-Latn-ME"/>
              </w:rPr>
              <w:t>4</w:t>
            </w:r>
            <w:r>
              <w:t>4</w:t>
            </w:r>
          </w:p>
        </w:tc>
        <w:tc>
          <w:tcPr>
            <w:tcW w:w="1782" w:type="dxa"/>
            <w:tcBorders>
              <w:top w:val="single" w:color="000000" w:sz="4" w:space="0"/>
              <w:left w:val="single" w:color="000000" w:sz="4" w:space="0"/>
              <w:bottom w:val="single" w:color="000000" w:sz="4" w:space="0"/>
              <w:right w:val="single" w:color="000000" w:sz="4" w:space="0"/>
            </w:tcBorders>
            <w:vAlign w:val="center"/>
          </w:tcPr>
          <w:p>
            <w:pPr>
              <w:jc w:val="center"/>
            </w:pPr>
            <w:r>
              <w:t>210.</w:t>
            </w:r>
            <w:r>
              <w:rPr>
                <w:lang w:val="sr-Latn-ME"/>
              </w:rPr>
              <w:t>396</w:t>
            </w:r>
            <w:r>
              <w:t>,</w:t>
            </w:r>
            <w:r>
              <w:rPr>
                <w:lang w:val="sr-Latn-ME"/>
              </w:rPr>
              <w:t>78</w:t>
            </w:r>
          </w:p>
        </w:tc>
        <w:tc>
          <w:tcPr>
            <w:tcW w:w="1403" w:type="dxa"/>
            <w:tcBorders>
              <w:top w:val="single" w:color="000000" w:sz="4" w:space="0"/>
              <w:left w:val="single" w:color="000000" w:sz="4" w:space="0"/>
              <w:bottom w:val="single" w:color="000000" w:sz="4" w:space="0"/>
              <w:right w:val="double" w:color="000000" w:sz="4" w:space="0"/>
            </w:tcBorders>
            <w:vAlign w:val="center"/>
          </w:tcPr>
          <w:p>
            <w:pPr>
              <w:jc w:val="center"/>
            </w:pPr>
            <w:r>
              <w:t>10</w:t>
            </w:r>
            <w:r>
              <w:rPr>
                <w:lang w:val="sr-Latn-ME"/>
              </w:rPr>
              <w:t>1</w:t>
            </w:r>
          </w:p>
        </w:tc>
      </w:tr>
      <w:tr>
        <w:tblPrEx>
          <w:tblCellMar>
            <w:top w:w="0" w:type="dxa"/>
            <w:left w:w="108" w:type="dxa"/>
            <w:bottom w:w="0" w:type="dxa"/>
            <w:right w:w="108" w:type="dxa"/>
          </w:tblCellMar>
        </w:tblPrEx>
        <w:trPr>
          <w:trHeight w:val="841" w:hRule="atLeast"/>
          <w:jc w:val="center"/>
        </w:trPr>
        <w:tc>
          <w:tcPr>
            <w:tcW w:w="941" w:type="dxa"/>
            <w:tcBorders>
              <w:top w:val="single" w:color="000000" w:sz="4" w:space="0"/>
              <w:left w:val="double" w:color="000000" w:sz="4" w:space="0"/>
              <w:bottom w:val="double" w:color="000000" w:sz="4" w:space="0"/>
              <w:right w:val="single" w:color="000000" w:sz="4" w:space="0"/>
            </w:tcBorders>
            <w:vAlign w:val="center"/>
          </w:tcPr>
          <w:p>
            <w:pPr>
              <w:rPr>
                <w:b/>
                <w:bCs/>
              </w:rPr>
            </w:pPr>
            <w:r>
              <w:rPr>
                <w:b/>
                <w:bCs/>
              </w:rPr>
              <w:t>5.</w:t>
            </w:r>
          </w:p>
        </w:tc>
        <w:tc>
          <w:tcPr>
            <w:tcW w:w="3695" w:type="dxa"/>
            <w:tcBorders>
              <w:top w:val="single" w:color="000000" w:sz="4" w:space="0"/>
              <w:left w:val="single" w:color="000000" w:sz="4" w:space="0"/>
              <w:bottom w:val="double" w:color="000000" w:sz="4" w:space="0"/>
              <w:right w:val="single" w:color="000000" w:sz="4" w:space="0"/>
            </w:tcBorders>
            <w:vAlign w:val="center"/>
          </w:tcPr>
          <w:p>
            <w:pPr>
              <w:rPr>
                <w:b/>
                <w:bCs/>
                <w:lang w:val="sr-Latn-ME"/>
              </w:rPr>
            </w:pPr>
            <w:r>
              <w:rPr>
                <w:b/>
                <w:bCs/>
                <w:lang w:val="sr-Latn-ME"/>
              </w:rPr>
              <w:t>Prihodi od smanjenja obaveza i ostali poslovni prihodi</w:t>
            </w:r>
          </w:p>
        </w:tc>
        <w:tc>
          <w:tcPr>
            <w:tcW w:w="1781" w:type="dxa"/>
            <w:tcBorders>
              <w:top w:val="single" w:color="000000" w:sz="4" w:space="0"/>
              <w:left w:val="single" w:color="000000" w:sz="4" w:space="0"/>
              <w:bottom w:val="double" w:color="000000" w:sz="4" w:space="0"/>
              <w:right w:val="single" w:color="000000" w:sz="4" w:space="0"/>
            </w:tcBorders>
            <w:vAlign w:val="center"/>
          </w:tcPr>
          <w:p>
            <w:pPr>
              <w:jc w:val="center"/>
            </w:pPr>
            <w:r>
              <w:rPr>
                <w:lang w:val="sr-Latn-ME"/>
              </w:rPr>
              <w:t>9</w:t>
            </w:r>
            <w:r>
              <w:t>.18</w:t>
            </w:r>
            <w:r>
              <w:rPr>
                <w:lang w:val="sr-Latn-ME"/>
              </w:rPr>
              <w:t>2</w:t>
            </w:r>
            <w:r>
              <w:t>,</w:t>
            </w:r>
            <w:r>
              <w:rPr>
                <w:lang w:val="sr-Latn-ME"/>
              </w:rPr>
              <w:t>01</w:t>
            </w:r>
          </w:p>
        </w:tc>
        <w:tc>
          <w:tcPr>
            <w:tcW w:w="1782" w:type="dxa"/>
            <w:tcBorders>
              <w:top w:val="single" w:color="000000" w:sz="4" w:space="0"/>
              <w:left w:val="single" w:color="000000" w:sz="4" w:space="0"/>
              <w:bottom w:val="double" w:color="000000" w:sz="4" w:space="0"/>
              <w:right w:val="single" w:color="000000" w:sz="4" w:space="0"/>
            </w:tcBorders>
            <w:vAlign w:val="center"/>
          </w:tcPr>
          <w:p>
            <w:pPr>
              <w:jc w:val="center"/>
            </w:pPr>
            <w:r>
              <w:rPr>
                <w:lang w:val="sr-Latn-ME"/>
              </w:rPr>
              <w:t>2</w:t>
            </w:r>
            <w:r>
              <w:t>.346,</w:t>
            </w:r>
            <w:r>
              <w:rPr>
                <w:lang w:val="sr-Latn-ME"/>
              </w:rPr>
              <w:t>82</w:t>
            </w:r>
          </w:p>
        </w:tc>
        <w:tc>
          <w:tcPr>
            <w:tcW w:w="1403" w:type="dxa"/>
            <w:tcBorders>
              <w:top w:val="single" w:color="000000" w:sz="4" w:space="0"/>
              <w:left w:val="single" w:color="000000" w:sz="4" w:space="0"/>
              <w:bottom w:val="double" w:color="000000" w:sz="4" w:space="0"/>
              <w:right w:val="double" w:color="000000" w:sz="4" w:space="0"/>
            </w:tcBorders>
            <w:vAlign w:val="center"/>
          </w:tcPr>
          <w:p>
            <w:pPr>
              <w:jc w:val="center"/>
              <w:rPr>
                <w:lang w:val="sr-Latn-ME"/>
              </w:rPr>
            </w:pPr>
            <w:r>
              <w:rPr>
                <w:lang w:val="sr-Latn-ME"/>
              </w:rPr>
              <w:t>26</w:t>
            </w:r>
          </w:p>
        </w:tc>
      </w:tr>
      <w:tr>
        <w:tblPrEx>
          <w:tblCellMar>
            <w:top w:w="0" w:type="dxa"/>
            <w:left w:w="108" w:type="dxa"/>
            <w:bottom w:w="0" w:type="dxa"/>
            <w:right w:w="108" w:type="dxa"/>
          </w:tblCellMar>
        </w:tblPrEx>
        <w:trPr>
          <w:trHeight w:val="626" w:hRule="atLeast"/>
          <w:jc w:val="center"/>
        </w:trPr>
        <w:tc>
          <w:tcPr>
            <w:tcW w:w="4636" w:type="dxa"/>
            <w:gridSpan w:val="2"/>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rPr>
                <w:b/>
                <w:lang w:val="sr-Latn-ME"/>
              </w:rPr>
            </w:pPr>
            <w:r>
              <w:rPr>
                <w:b/>
                <w:lang w:val="sr-Latn-ME"/>
              </w:rPr>
              <w:t>UKUPNI PRIHODI</w:t>
            </w:r>
          </w:p>
        </w:tc>
        <w:tc>
          <w:tcPr>
            <w:tcW w:w="1781"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rPr>
                <w:b/>
              </w:rPr>
            </w:pPr>
            <w:r>
              <w:rPr>
                <w:b/>
              </w:rPr>
              <w:t>1.199.939,97</w:t>
            </w:r>
          </w:p>
        </w:tc>
        <w:tc>
          <w:tcPr>
            <w:tcW w:w="1782"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pPr>
            <w:r>
              <w:rPr>
                <w:b/>
              </w:rPr>
              <w:t>1.1</w:t>
            </w:r>
            <w:r>
              <w:rPr>
                <w:b/>
                <w:lang w:val="sr-Latn-ME"/>
              </w:rPr>
              <w:t>55</w:t>
            </w:r>
            <w:r>
              <w:rPr>
                <w:b/>
              </w:rPr>
              <w:t>.</w:t>
            </w:r>
            <w:r>
              <w:rPr>
                <w:b/>
                <w:lang w:val="sr-Latn-ME"/>
              </w:rPr>
              <w:t>429</w:t>
            </w:r>
            <w:r>
              <w:rPr>
                <w:b/>
              </w:rPr>
              <w:t>,</w:t>
            </w:r>
            <w:r>
              <w:rPr>
                <w:b/>
                <w:lang w:val="sr-Latn-ME"/>
              </w:rPr>
              <w:t>53</w:t>
            </w:r>
          </w:p>
        </w:tc>
        <w:tc>
          <w:tcPr>
            <w:tcW w:w="1403"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pPr>
            <w:r>
              <w:rPr>
                <w:b/>
              </w:rPr>
              <w:t>96</w:t>
            </w:r>
          </w:p>
        </w:tc>
      </w:tr>
    </w:tbl>
    <w:p>
      <w:pPr>
        <w:jc w:val="both"/>
        <w:rPr>
          <w:i/>
        </w:rPr>
      </w:pPr>
    </w:p>
    <w:p>
      <w:pPr>
        <w:ind w:firstLine="720"/>
        <w:jc w:val="center"/>
        <w:rPr>
          <w:i/>
          <w:sz w:val="20"/>
          <w:szCs w:val="20"/>
          <w:lang w:val="sr-Latn-ME"/>
        </w:rPr>
      </w:pPr>
      <w:r>
        <w:rPr>
          <w:i/>
          <w:sz w:val="20"/>
          <w:szCs w:val="20"/>
          <w:lang w:val="sr-Latn-ME"/>
        </w:rPr>
        <w:t>Tabela 1.2.: Ostavreni rashodi u 2023. godini</w:t>
      </w:r>
    </w:p>
    <w:tbl>
      <w:tblPr>
        <w:tblStyle w:val="7"/>
        <w:tblW w:w="5000" w:type="pct"/>
        <w:jc w:val="center"/>
        <w:tblLayout w:type="fixed"/>
        <w:tblCellMar>
          <w:top w:w="0" w:type="dxa"/>
          <w:left w:w="108" w:type="dxa"/>
          <w:bottom w:w="0" w:type="dxa"/>
          <w:right w:w="108" w:type="dxa"/>
        </w:tblCellMar>
      </w:tblPr>
      <w:tblGrid>
        <w:gridCol w:w="992"/>
        <w:gridCol w:w="3851"/>
        <w:gridCol w:w="1742"/>
        <w:gridCol w:w="1817"/>
        <w:gridCol w:w="1416"/>
      </w:tblGrid>
      <w:tr>
        <w:tblPrEx>
          <w:tblCellMar>
            <w:top w:w="0" w:type="dxa"/>
            <w:left w:w="108" w:type="dxa"/>
            <w:bottom w:w="0" w:type="dxa"/>
            <w:right w:w="108" w:type="dxa"/>
          </w:tblCellMar>
        </w:tblPrEx>
        <w:trPr>
          <w:jc w:val="center"/>
        </w:trPr>
        <w:tc>
          <w:tcPr>
            <w:tcW w:w="970"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pPr>
            <w:r>
              <w:rPr>
                <w:b/>
                <w:lang w:val="sr-Latn-ME"/>
              </w:rPr>
              <w:t>R</w:t>
            </w:r>
            <w:r>
              <w:rPr>
                <w:b/>
              </w:rPr>
              <w:t xml:space="preserve">. </w:t>
            </w:r>
            <w:r>
              <w:rPr>
                <w:b/>
                <w:lang w:val="sr-Latn-ME"/>
              </w:rPr>
              <w:t>br</w:t>
            </w:r>
            <w:r>
              <w:rPr>
                <w:b/>
              </w:rPr>
              <w:t>.</w:t>
            </w:r>
          </w:p>
        </w:tc>
        <w:tc>
          <w:tcPr>
            <w:tcW w:w="3766"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rPr>
                <w:b/>
                <w:lang w:val="sr-Latn-ME"/>
              </w:rPr>
            </w:pPr>
            <w:r>
              <w:rPr>
                <w:b/>
                <w:lang w:val="sr-Latn-ME"/>
              </w:rPr>
              <w:t>Opis</w:t>
            </w:r>
          </w:p>
        </w:tc>
        <w:tc>
          <w:tcPr>
            <w:tcW w:w="1704"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rPr>
                <w:b/>
              </w:rPr>
            </w:pPr>
            <w:r>
              <w:rPr>
                <w:b/>
              </w:rPr>
              <w:t>2022 / €</w:t>
            </w:r>
          </w:p>
        </w:tc>
        <w:tc>
          <w:tcPr>
            <w:tcW w:w="1777"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pPr>
            <w:r>
              <w:rPr>
                <w:b/>
              </w:rPr>
              <w:t>202</w:t>
            </w:r>
            <w:r>
              <w:rPr>
                <w:b/>
                <w:lang w:val="sr-Latn-ME"/>
              </w:rPr>
              <w:t>3</w:t>
            </w:r>
            <w:r>
              <w:rPr>
                <w:b/>
              </w:rPr>
              <w:t xml:space="preserve"> / €</w:t>
            </w:r>
          </w:p>
        </w:tc>
        <w:tc>
          <w:tcPr>
            <w:tcW w:w="1385"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pPr>
            <w:r>
              <w:rPr>
                <w:b/>
                <w:lang w:val="sr-Latn-ME"/>
              </w:rPr>
              <w:t>Indeks</w:t>
            </w:r>
            <w:r>
              <w:rPr>
                <w:b/>
              </w:rPr>
              <w:t xml:space="preserve"> 202</w:t>
            </w:r>
            <w:r>
              <w:rPr>
                <w:b/>
                <w:lang w:val="sr-Latn-ME"/>
              </w:rPr>
              <w:t>3</w:t>
            </w:r>
            <w:r>
              <w:rPr>
                <w:b/>
              </w:rPr>
              <w:t>/202</w:t>
            </w:r>
            <w:r>
              <w:rPr>
                <w:b/>
                <w:lang w:val="sr-Latn-ME"/>
              </w:rPr>
              <w:t>2</w:t>
            </w:r>
          </w:p>
        </w:tc>
      </w:tr>
      <w:tr>
        <w:tblPrEx>
          <w:tblCellMar>
            <w:top w:w="0" w:type="dxa"/>
            <w:left w:w="108" w:type="dxa"/>
            <w:bottom w:w="0" w:type="dxa"/>
            <w:right w:w="108" w:type="dxa"/>
          </w:tblCellMar>
        </w:tblPrEx>
        <w:trPr>
          <w:jc w:val="center"/>
        </w:trPr>
        <w:tc>
          <w:tcPr>
            <w:tcW w:w="970" w:type="dxa"/>
            <w:tcBorders>
              <w:top w:val="double" w:color="000000" w:sz="4" w:space="0"/>
              <w:left w:val="double" w:color="000000" w:sz="4" w:space="0"/>
              <w:bottom w:val="single" w:color="000000" w:sz="4" w:space="0"/>
              <w:right w:val="single" w:color="000000" w:sz="4" w:space="0"/>
            </w:tcBorders>
            <w:vAlign w:val="center"/>
          </w:tcPr>
          <w:p>
            <w:pPr>
              <w:snapToGrid w:val="0"/>
              <w:jc w:val="center"/>
              <w:rPr>
                <w:b/>
              </w:rPr>
            </w:pPr>
          </w:p>
        </w:tc>
        <w:tc>
          <w:tcPr>
            <w:tcW w:w="3766" w:type="dxa"/>
            <w:tcBorders>
              <w:top w:val="double" w:color="000000" w:sz="4" w:space="0"/>
              <w:left w:val="single" w:color="000000" w:sz="4" w:space="0"/>
              <w:bottom w:val="single" w:color="000000" w:sz="4" w:space="0"/>
              <w:right w:val="single" w:color="000000" w:sz="4" w:space="0"/>
            </w:tcBorders>
            <w:vAlign w:val="center"/>
          </w:tcPr>
          <w:p>
            <w:pPr>
              <w:jc w:val="center"/>
              <w:rPr>
                <w:b/>
                <w:lang w:val="sr-Latn-ME"/>
              </w:rPr>
            </w:pPr>
            <w:r>
              <w:rPr>
                <w:b/>
                <w:lang w:val="sr-Latn-ME"/>
              </w:rPr>
              <w:t>Rashodi</w:t>
            </w:r>
          </w:p>
        </w:tc>
        <w:tc>
          <w:tcPr>
            <w:tcW w:w="1704" w:type="dxa"/>
            <w:tcBorders>
              <w:top w:val="double" w:color="000000" w:sz="4" w:space="0"/>
              <w:left w:val="single" w:color="000000" w:sz="4" w:space="0"/>
              <w:bottom w:val="single" w:color="000000" w:sz="4" w:space="0"/>
              <w:right w:val="single" w:color="000000" w:sz="4" w:space="0"/>
            </w:tcBorders>
            <w:vAlign w:val="center"/>
          </w:tcPr>
          <w:p>
            <w:pPr>
              <w:snapToGrid w:val="0"/>
              <w:jc w:val="center"/>
              <w:rPr>
                <w:b/>
              </w:rPr>
            </w:pPr>
          </w:p>
        </w:tc>
        <w:tc>
          <w:tcPr>
            <w:tcW w:w="1777" w:type="dxa"/>
            <w:tcBorders>
              <w:top w:val="double" w:color="000000" w:sz="4" w:space="0"/>
              <w:left w:val="single" w:color="000000" w:sz="4" w:space="0"/>
              <w:bottom w:val="single" w:color="000000" w:sz="4" w:space="0"/>
              <w:right w:val="single" w:color="000000" w:sz="4" w:space="0"/>
            </w:tcBorders>
            <w:vAlign w:val="center"/>
          </w:tcPr>
          <w:p>
            <w:pPr>
              <w:snapToGrid w:val="0"/>
              <w:jc w:val="center"/>
            </w:pPr>
          </w:p>
        </w:tc>
        <w:tc>
          <w:tcPr>
            <w:tcW w:w="1385" w:type="dxa"/>
            <w:tcBorders>
              <w:top w:val="double" w:color="000000" w:sz="4" w:space="0"/>
              <w:left w:val="single" w:color="000000" w:sz="4" w:space="0"/>
              <w:bottom w:val="single" w:color="000000" w:sz="4" w:space="0"/>
              <w:right w:val="double" w:color="000000" w:sz="4" w:space="0"/>
            </w:tcBorders>
            <w:vAlign w:val="center"/>
          </w:tcPr>
          <w:p>
            <w:pPr>
              <w:snapToGrid w:val="0"/>
              <w:jc w:val="center"/>
            </w:pPr>
          </w:p>
        </w:tc>
      </w:tr>
      <w:tr>
        <w:tblPrEx>
          <w:tblCellMar>
            <w:top w:w="0" w:type="dxa"/>
            <w:left w:w="108" w:type="dxa"/>
            <w:bottom w:w="0" w:type="dxa"/>
            <w:right w:w="108" w:type="dxa"/>
          </w:tblCellMar>
        </w:tblPrEx>
        <w:trPr>
          <w:jc w:val="center"/>
        </w:trPr>
        <w:tc>
          <w:tcPr>
            <w:tcW w:w="970" w:type="dxa"/>
            <w:tcBorders>
              <w:top w:val="single" w:color="000000" w:sz="4" w:space="0"/>
              <w:left w:val="double" w:color="000000" w:sz="4" w:space="0"/>
              <w:bottom w:val="single" w:color="000000" w:sz="4" w:space="0"/>
              <w:right w:val="single" w:color="000000" w:sz="4" w:space="0"/>
            </w:tcBorders>
            <w:vAlign w:val="center"/>
          </w:tcPr>
          <w:p>
            <w:pPr>
              <w:rPr>
                <w:b/>
                <w:bCs/>
              </w:rPr>
            </w:pPr>
            <w:r>
              <w:rPr>
                <w:b/>
                <w:bCs/>
              </w:rPr>
              <w:t>1.</w:t>
            </w:r>
          </w:p>
        </w:tc>
        <w:tc>
          <w:tcPr>
            <w:tcW w:w="3766" w:type="dxa"/>
            <w:tcBorders>
              <w:top w:val="single" w:color="000000" w:sz="4" w:space="0"/>
              <w:left w:val="single" w:color="000000" w:sz="4" w:space="0"/>
              <w:bottom w:val="single" w:color="000000" w:sz="4" w:space="0"/>
              <w:right w:val="single" w:color="000000" w:sz="4" w:space="0"/>
            </w:tcBorders>
            <w:vAlign w:val="center"/>
          </w:tcPr>
          <w:p>
            <w:pPr>
              <w:rPr>
                <w:b/>
                <w:bCs/>
                <w:lang w:val="sr-Latn-ME"/>
              </w:rPr>
            </w:pPr>
            <w:r>
              <w:rPr>
                <w:b/>
                <w:bCs/>
                <w:lang w:val="sr-Latn-ME"/>
              </w:rPr>
              <w:t>Nabavna vrijednost prodate robe i troškovi materijala za izradu</w:t>
            </w:r>
          </w:p>
        </w:tc>
        <w:tc>
          <w:tcPr>
            <w:tcW w:w="1704" w:type="dxa"/>
            <w:tcBorders>
              <w:top w:val="single" w:color="000000" w:sz="4" w:space="0"/>
              <w:left w:val="single" w:color="000000" w:sz="4" w:space="0"/>
              <w:bottom w:val="single" w:color="000000" w:sz="4" w:space="0"/>
              <w:right w:val="single" w:color="000000" w:sz="4" w:space="0"/>
            </w:tcBorders>
            <w:vAlign w:val="center"/>
          </w:tcPr>
          <w:p>
            <w:pPr>
              <w:jc w:val="center"/>
            </w:pPr>
            <w:r>
              <w:t>4.</w:t>
            </w:r>
            <w:r>
              <w:rPr>
                <w:lang w:val="sr-Latn-ME"/>
              </w:rPr>
              <w:t>952</w:t>
            </w:r>
            <w:r>
              <w:t>,74</w:t>
            </w:r>
          </w:p>
        </w:tc>
        <w:tc>
          <w:tcPr>
            <w:tcW w:w="1777" w:type="dxa"/>
            <w:tcBorders>
              <w:top w:val="single" w:color="000000" w:sz="4" w:space="0"/>
              <w:left w:val="single" w:color="000000" w:sz="4" w:space="0"/>
              <w:bottom w:val="single" w:color="000000" w:sz="4" w:space="0"/>
              <w:right w:val="single" w:color="000000" w:sz="4" w:space="0"/>
            </w:tcBorders>
            <w:vAlign w:val="center"/>
          </w:tcPr>
          <w:p>
            <w:pPr>
              <w:jc w:val="center"/>
            </w:pPr>
            <w:r>
              <w:t>3.</w:t>
            </w:r>
            <w:r>
              <w:rPr>
                <w:lang w:val="sr-Latn-ME"/>
              </w:rPr>
              <w:t>244</w:t>
            </w:r>
            <w:r>
              <w:t>,50</w:t>
            </w:r>
          </w:p>
        </w:tc>
        <w:tc>
          <w:tcPr>
            <w:tcW w:w="1385" w:type="dxa"/>
            <w:tcBorders>
              <w:top w:val="single" w:color="000000" w:sz="4" w:space="0"/>
              <w:left w:val="single" w:color="000000" w:sz="4" w:space="0"/>
              <w:bottom w:val="single" w:color="000000" w:sz="4" w:space="0"/>
              <w:right w:val="double" w:color="000000" w:sz="4" w:space="0"/>
            </w:tcBorders>
            <w:vAlign w:val="center"/>
          </w:tcPr>
          <w:p>
            <w:pPr>
              <w:jc w:val="center"/>
            </w:pPr>
            <w:r>
              <w:rPr>
                <w:lang w:val="sr-Latn-ME"/>
              </w:rPr>
              <w:t>66</w:t>
            </w:r>
          </w:p>
        </w:tc>
      </w:tr>
      <w:tr>
        <w:tblPrEx>
          <w:tblCellMar>
            <w:top w:w="0" w:type="dxa"/>
            <w:left w:w="108" w:type="dxa"/>
            <w:bottom w:w="0" w:type="dxa"/>
            <w:right w:w="108" w:type="dxa"/>
          </w:tblCellMar>
        </w:tblPrEx>
        <w:trPr>
          <w:jc w:val="center"/>
        </w:trPr>
        <w:tc>
          <w:tcPr>
            <w:tcW w:w="970" w:type="dxa"/>
            <w:tcBorders>
              <w:top w:val="single" w:color="000000" w:sz="4" w:space="0"/>
              <w:left w:val="double" w:color="000000" w:sz="4" w:space="0"/>
              <w:bottom w:val="single" w:color="000000" w:sz="4" w:space="0"/>
              <w:right w:val="single" w:color="000000" w:sz="4" w:space="0"/>
            </w:tcBorders>
            <w:vAlign w:val="center"/>
          </w:tcPr>
          <w:p>
            <w:pPr>
              <w:rPr>
                <w:b/>
                <w:bCs/>
              </w:rPr>
            </w:pPr>
            <w:r>
              <w:rPr>
                <w:b/>
                <w:bCs/>
              </w:rPr>
              <w:t>2.</w:t>
            </w:r>
          </w:p>
        </w:tc>
        <w:tc>
          <w:tcPr>
            <w:tcW w:w="3766" w:type="dxa"/>
            <w:tcBorders>
              <w:top w:val="single" w:color="000000" w:sz="4" w:space="0"/>
              <w:left w:val="single" w:color="000000" w:sz="4" w:space="0"/>
              <w:bottom w:val="single" w:color="000000" w:sz="4" w:space="0"/>
              <w:right w:val="single" w:color="000000" w:sz="4" w:space="0"/>
            </w:tcBorders>
            <w:vAlign w:val="center"/>
          </w:tcPr>
          <w:p>
            <w:pPr>
              <w:rPr>
                <w:b/>
                <w:bCs/>
                <w:lang w:val="sr-Latn-ME"/>
              </w:rPr>
            </w:pPr>
            <w:r>
              <w:rPr>
                <w:b/>
                <w:bCs/>
                <w:lang w:val="sr-Latn-ME"/>
              </w:rPr>
              <w:t>Troškovi ostalog materijala</w:t>
            </w:r>
          </w:p>
        </w:tc>
        <w:tc>
          <w:tcPr>
            <w:tcW w:w="1704" w:type="dxa"/>
            <w:tcBorders>
              <w:top w:val="single" w:color="000000" w:sz="4" w:space="0"/>
              <w:left w:val="single" w:color="000000" w:sz="4" w:space="0"/>
              <w:bottom w:val="single" w:color="000000" w:sz="4" w:space="0"/>
              <w:right w:val="single" w:color="000000" w:sz="4" w:space="0"/>
            </w:tcBorders>
            <w:vAlign w:val="center"/>
          </w:tcPr>
          <w:p>
            <w:pPr>
              <w:jc w:val="center"/>
            </w:pPr>
            <w:r>
              <w:t>6.</w:t>
            </w:r>
            <w:r>
              <w:rPr>
                <w:lang w:val="sr-Latn-ME"/>
              </w:rPr>
              <w:t>351</w:t>
            </w:r>
            <w:r>
              <w:t>,</w:t>
            </w:r>
            <w:r>
              <w:rPr>
                <w:lang w:val="sr-Latn-ME"/>
              </w:rPr>
              <w:t>04</w:t>
            </w:r>
          </w:p>
        </w:tc>
        <w:tc>
          <w:tcPr>
            <w:tcW w:w="1777" w:type="dxa"/>
            <w:tcBorders>
              <w:top w:val="single" w:color="000000" w:sz="4" w:space="0"/>
              <w:left w:val="single" w:color="000000" w:sz="4" w:space="0"/>
              <w:bottom w:val="single" w:color="000000" w:sz="4" w:space="0"/>
              <w:right w:val="single" w:color="000000" w:sz="4" w:space="0"/>
            </w:tcBorders>
            <w:vAlign w:val="center"/>
          </w:tcPr>
          <w:p>
            <w:pPr>
              <w:jc w:val="center"/>
            </w:pPr>
            <w:r>
              <w:t>6.</w:t>
            </w:r>
            <w:r>
              <w:rPr>
                <w:lang w:val="sr-Latn-ME"/>
              </w:rPr>
              <w:t>820</w:t>
            </w:r>
            <w:r>
              <w:t>,</w:t>
            </w:r>
            <w:r>
              <w:rPr>
                <w:lang w:val="sr-Latn-ME"/>
              </w:rPr>
              <w:t>03</w:t>
            </w:r>
          </w:p>
        </w:tc>
        <w:tc>
          <w:tcPr>
            <w:tcW w:w="1385" w:type="dxa"/>
            <w:tcBorders>
              <w:top w:val="single" w:color="000000" w:sz="4" w:space="0"/>
              <w:left w:val="single" w:color="000000" w:sz="4" w:space="0"/>
              <w:bottom w:val="single" w:color="000000" w:sz="4" w:space="0"/>
              <w:right w:val="double" w:color="000000" w:sz="4" w:space="0"/>
            </w:tcBorders>
            <w:vAlign w:val="center"/>
          </w:tcPr>
          <w:p>
            <w:pPr>
              <w:jc w:val="center"/>
            </w:pPr>
            <w:r>
              <w:t>10</w:t>
            </w:r>
            <w:r>
              <w:rPr>
                <w:lang w:val="sr-Latn-ME"/>
              </w:rPr>
              <w:t>7</w:t>
            </w:r>
          </w:p>
        </w:tc>
      </w:tr>
      <w:tr>
        <w:tblPrEx>
          <w:tblCellMar>
            <w:top w:w="0" w:type="dxa"/>
            <w:left w:w="108" w:type="dxa"/>
            <w:bottom w:w="0" w:type="dxa"/>
            <w:right w:w="108" w:type="dxa"/>
          </w:tblCellMar>
        </w:tblPrEx>
        <w:trPr>
          <w:jc w:val="center"/>
        </w:trPr>
        <w:tc>
          <w:tcPr>
            <w:tcW w:w="970" w:type="dxa"/>
            <w:tcBorders>
              <w:top w:val="single" w:color="000000" w:sz="4" w:space="0"/>
              <w:left w:val="double" w:color="000000" w:sz="4" w:space="0"/>
              <w:bottom w:val="single" w:color="000000" w:sz="4" w:space="0"/>
              <w:right w:val="single" w:color="000000" w:sz="4" w:space="0"/>
            </w:tcBorders>
            <w:vAlign w:val="center"/>
          </w:tcPr>
          <w:p>
            <w:pPr>
              <w:rPr>
                <w:b/>
                <w:bCs/>
              </w:rPr>
            </w:pPr>
            <w:r>
              <w:rPr>
                <w:b/>
                <w:bCs/>
              </w:rPr>
              <w:t>3.</w:t>
            </w:r>
          </w:p>
        </w:tc>
        <w:tc>
          <w:tcPr>
            <w:tcW w:w="3766" w:type="dxa"/>
            <w:tcBorders>
              <w:top w:val="single" w:color="000000" w:sz="4" w:space="0"/>
              <w:left w:val="single" w:color="000000" w:sz="4" w:space="0"/>
              <w:bottom w:val="single" w:color="000000" w:sz="4" w:space="0"/>
              <w:right w:val="single" w:color="000000" w:sz="4" w:space="0"/>
            </w:tcBorders>
            <w:vAlign w:val="center"/>
          </w:tcPr>
          <w:p>
            <w:pPr>
              <w:rPr>
                <w:b/>
                <w:bCs/>
                <w:lang w:val="sr-Latn-ME"/>
              </w:rPr>
            </w:pPr>
            <w:r>
              <w:rPr>
                <w:b/>
                <w:bCs/>
                <w:lang w:val="sr-Latn-ME"/>
              </w:rPr>
              <w:t>Troškovi goriva i energije</w:t>
            </w:r>
          </w:p>
        </w:tc>
        <w:tc>
          <w:tcPr>
            <w:tcW w:w="1704" w:type="dxa"/>
            <w:tcBorders>
              <w:top w:val="single" w:color="000000" w:sz="4" w:space="0"/>
              <w:left w:val="single" w:color="000000" w:sz="4" w:space="0"/>
              <w:bottom w:val="single" w:color="000000" w:sz="4" w:space="0"/>
              <w:right w:val="single" w:color="000000" w:sz="4" w:space="0"/>
            </w:tcBorders>
            <w:vAlign w:val="center"/>
          </w:tcPr>
          <w:p>
            <w:pPr>
              <w:jc w:val="center"/>
            </w:pPr>
            <w:r>
              <w:t>1</w:t>
            </w:r>
            <w:r>
              <w:rPr>
                <w:lang w:val="sr-Latn-ME"/>
              </w:rPr>
              <w:t>08</w:t>
            </w:r>
            <w:r>
              <w:t>.</w:t>
            </w:r>
            <w:r>
              <w:rPr>
                <w:lang w:val="sr-Latn-ME"/>
              </w:rPr>
              <w:t>405</w:t>
            </w:r>
            <w:r>
              <w:t>,</w:t>
            </w:r>
            <w:r>
              <w:rPr>
                <w:lang w:val="sr-Latn-ME"/>
              </w:rPr>
              <w:t>26</w:t>
            </w:r>
          </w:p>
        </w:tc>
        <w:tc>
          <w:tcPr>
            <w:tcW w:w="1777" w:type="dxa"/>
            <w:tcBorders>
              <w:top w:val="single" w:color="000000" w:sz="4" w:space="0"/>
              <w:left w:val="single" w:color="000000" w:sz="4" w:space="0"/>
              <w:bottom w:val="single" w:color="000000" w:sz="4" w:space="0"/>
              <w:right w:val="single" w:color="000000" w:sz="4" w:space="0"/>
            </w:tcBorders>
            <w:vAlign w:val="center"/>
          </w:tcPr>
          <w:p>
            <w:pPr>
              <w:jc w:val="center"/>
            </w:pPr>
            <w:r>
              <w:t>7</w:t>
            </w:r>
            <w:r>
              <w:rPr>
                <w:lang w:val="sr-Latn-ME"/>
              </w:rPr>
              <w:t>8</w:t>
            </w:r>
            <w:r>
              <w:t>.</w:t>
            </w:r>
            <w:r>
              <w:rPr>
                <w:lang w:val="sr-Latn-ME"/>
              </w:rPr>
              <w:t>199</w:t>
            </w:r>
            <w:r>
              <w:t>,</w:t>
            </w:r>
            <w:r>
              <w:rPr>
                <w:lang w:val="sr-Latn-ME"/>
              </w:rPr>
              <w:t>84</w:t>
            </w:r>
          </w:p>
        </w:tc>
        <w:tc>
          <w:tcPr>
            <w:tcW w:w="1385" w:type="dxa"/>
            <w:tcBorders>
              <w:top w:val="single" w:color="000000" w:sz="4" w:space="0"/>
              <w:left w:val="single" w:color="000000" w:sz="4" w:space="0"/>
              <w:bottom w:val="single" w:color="000000" w:sz="4" w:space="0"/>
              <w:right w:val="double" w:color="000000" w:sz="4" w:space="0"/>
            </w:tcBorders>
            <w:vAlign w:val="center"/>
          </w:tcPr>
          <w:p>
            <w:pPr>
              <w:jc w:val="center"/>
              <w:rPr>
                <w:lang w:val="sr-Latn-ME"/>
              </w:rPr>
            </w:pPr>
            <w:r>
              <w:rPr>
                <w:lang w:val="sr-Latn-ME"/>
              </w:rPr>
              <w:t>72</w:t>
            </w:r>
          </w:p>
        </w:tc>
      </w:tr>
      <w:tr>
        <w:tblPrEx>
          <w:tblCellMar>
            <w:top w:w="0" w:type="dxa"/>
            <w:left w:w="108" w:type="dxa"/>
            <w:bottom w:w="0" w:type="dxa"/>
            <w:right w:w="108" w:type="dxa"/>
          </w:tblCellMar>
        </w:tblPrEx>
        <w:trPr>
          <w:jc w:val="center"/>
        </w:trPr>
        <w:tc>
          <w:tcPr>
            <w:tcW w:w="970" w:type="dxa"/>
            <w:tcBorders>
              <w:top w:val="single" w:color="000000" w:sz="4" w:space="0"/>
              <w:left w:val="double" w:color="000000" w:sz="4" w:space="0"/>
              <w:bottom w:val="single" w:color="000000" w:sz="4" w:space="0"/>
              <w:right w:val="single" w:color="000000" w:sz="4" w:space="0"/>
            </w:tcBorders>
            <w:vAlign w:val="center"/>
          </w:tcPr>
          <w:p>
            <w:pPr>
              <w:rPr>
                <w:b/>
                <w:bCs/>
              </w:rPr>
            </w:pPr>
            <w:r>
              <w:rPr>
                <w:b/>
                <w:bCs/>
              </w:rPr>
              <w:t>4.</w:t>
            </w:r>
          </w:p>
        </w:tc>
        <w:tc>
          <w:tcPr>
            <w:tcW w:w="3766" w:type="dxa"/>
            <w:tcBorders>
              <w:top w:val="single" w:color="000000" w:sz="4" w:space="0"/>
              <w:left w:val="single" w:color="000000" w:sz="4" w:space="0"/>
              <w:bottom w:val="single" w:color="000000" w:sz="4" w:space="0"/>
              <w:right w:val="single" w:color="000000" w:sz="4" w:space="0"/>
            </w:tcBorders>
            <w:vAlign w:val="center"/>
          </w:tcPr>
          <w:p>
            <w:pPr>
              <w:rPr>
                <w:b/>
                <w:bCs/>
                <w:lang w:val="sr-Latn-ME"/>
              </w:rPr>
            </w:pPr>
            <w:r>
              <w:rPr>
                <w:b/>
                <w:bCs/>
                <w:lang w:val="sr-Latn-ME"/>
              </w:rPr>
              <w:t>Troškovi zarada, naknada zarada i ostalih ličnih rashoda</w:t>
            </w:r>
          </w:p>
        </w:tc>
        <w:tc>
          <w:tcPr>
            <w:tcW w:w="1704" w:type="dxa"/>
            <w:tcBorders>
              <w:top w:val="single" w:color="000000" w:sz="4" w:space="0"/>
              <w:left w:val="single" w:color="000000" w:sz="4" w:space="0"/>
              <w:bottom w:val="single" w:color="000000" w:sz="4" w:space="0"/>
              <w:right w:val="single" w:color="000000" w:sz="4" w:space="0"/>
            </w:tcBorders>
            <w:vAlign w:val="center"/>
          </w:tcPr>
          <w:p>
            <w:pPr>
              <w:jc w:val="center"/>
            </w:pPr>
            <w:r>
              <w:t>6</w:t>
            </w:r>
            <w:r>
              <w:rPr>
                <w:lang w:val="sr-Latn-ME"/>
              </w:rPr>
              <w:t>88</w:t>
            </w:r>
            <w:r>
              <w:t>.</w:t>
            </w:r>
            <w:r>
              <w:rPr>
                <w:lang w:val="sr-Latn-ME"/>
              </w:rPr>
              <w:t>326</w:t>
            </w:r>
            <w:r>
              <w:t>,</w:t>
            </w:r>
            <w:r>
              <w:rPr>
                <w:lang w:val="sr-Latn-ME"/>
              </w:rPr>
              <w:t>98</w:t>
            </w:r>
          </w:p>
        </w:tc>
        <w:tc>
          <w:tcPr>
            <w:tcW w:w="1777" w:type="dxa"/>
            <w:tcBorders>
              <w:top w:val="single" w:color="000000" w:sz="4" w:space="0"/>
              <w:left w:val="single" w:color="000000" w:sz="4" w:space="0"/>
              <w:bottom w:val="single" w:color="000000" w:sz="4" w:space="0"/>
              <w:right w:val="single" w:color="000000" w:sz="4" w:space="0"/>
            </w:tcBorders>
            <w:vAlign w:val="center"/>
          </w:tcPr>
          <w:p>
            <w:pPr>
              <w:jc w:val="center"/>
            </w:pPr>
            <w:r>
              <w:t>719.</w:t>
            </w:r>
            <w:r>
              <w:rPr>
                <w:lang w:val="sr-Latn-ME"/>
              </w:rPr>
              <w:t>625</w:t>
            </w:r>
            <w:r>
              <w:t>,</w:t>
            </w:r>
            <w:r>
              <w:rPr>
                <w:lang w:val="sr-Latn-ME"/>
              </w:rPr>
              <w:t>05</w:t>
            </w:r>
          </w:p>
        </w:tc>
        <w:tc>
          <w:tcPr>
            <w:tcW w:w="1385" w:type="dxa"/>
            <w:tcBorders>
              <w:top w:val="single" w:color="000000" w:sz="4" w:space="0"/>
              <w:left w:val="single" w:color="000000" w:sz="4" w:space="0"/>
              <w:bottom w:val="single" w:color="000000" w:sz="4" w:space="0"/>
              <w:right w:val="double" w:color="000000" w:sz="4" w:space="0"/>
            </w:tcBorders>
            <w:vAlign w:val="center"/>
          </w:tcPr>
          <w:p>
            <w:pPr>
              <w:jc w:val="center"/>
            </w:pPr>
            <w:r>
              <w:t>1</w:t>
            </w:r>
            <w:r>
              <w:rPr>
                <w:lang w:val="sr-Latn-ME"/>
              </w:rPr>
              <w:t>05</w:t>
            </w:r>
          </w:p>
        </w:tc>
      </w:tr>
      <w:tr>
        <w:tblPrEx>
          <w:tblCellMar>
            <w:top w:w="0" w:type="dxa"/>
            <w:left w:w="108" w:type="dxa"/>
            <w:bottom w:w="0" w:type="dxa"/>
            <w:right w:w="108" w:type="dxa"/>
          </w:tblCellMar>
        </w:tblPrEx>
        <w:trPr>
          <w:jc w:val="center"/>
        </w:trPr>
        <w:tc>
          <w:tcPr>
            <w:tcW w:w="970" w:type="dxa"/>
            <w:tcBorders>
              <w:top w:val="single" w:color="000000" w:sz="4" w:space="0"/>
              <w:left w:val="double" w:color="000000" w:sz="4" w:space="0"/>
              <w:bottom w:val="single" w:color="000000" w:sz="4" w:space="0"/>
              <w:right w:val="single" w:color="000000" w:sz="4" w:space="0"/>
            </w:tcBorders>
            <w:vAlign w:val="center"/>
          </w:tcPr>
          <w:p>
            <w:pPr>
              <w:rPr>
                <w:b/>
                <w:bCs/>
              </w:rPr>
            </w:pPr>
            <w:r>
              <w:rPr>
                <w:b/>
                <w:bCs/>
              </w:rPr>
              <w:t>5.</w:t>
            </w:r>
          </w:p>
        </w:tc>
        <w:tc>
          <w:tcPr>
            <w:tcW w:w="3766" w:type="dxa"/>
            <w:tcBorders>
              <w:top w:val="single" w:color="000000" w:sz="4" w:space="0"/>
              <w:left w:val="single" w:color="000000" w:sz="4" w:space="0"/>
              <w:bottom w:val="single" w:color="000000" w:sz="4" w:space="0"/>
              <w:right w:val="single" w:color="000000" w:sz="4" w:space="0"/>
            </w:tcBorders>
            <w:vAlign w:val="center"/>
          </w:tcPr>
          <w:p>
            <w:pPr>
              <w:rPr>
                <w:b/>
                <w:bCs/>
                <w:lang w:val="sr-Latn-ME"/>
              </w:rPr>
            </w:pPr>
            <w:r>
              <w:rPr>
                <w:b/>
                <w:bCs/>
                <w:lang w:val="sr-Latn-ME"/>
              </w:rPr>
              <w:t>Troškovi amortizacije</w:t>
            </w:r>
          </w:p>
        </w:tc>
        <w:tc>
          <w:tcPr>
            <w:tcW w:w="1704" w:type="dxa"/>
            <w:tcBorders>
              <w:top w:val="single" w:color="000000" w:sz="4" w:space="0"/>
              <w:left w:val="single" w:color="000000" w:sz="4" w:space="0"/>
              <w:bottom w:val="single" w:color="000000" w:sz="4" w:space="0"/>
              <w:right w:val="single" w:color="000000" w:sz="4" w:space="0"/>
            </w:tcBorders>
            <w:vAlign w:val="center"/>
          </w:tcPr>
          <w:p>
            <w:pPr>
              <w:jc w:val="center"/>
            </w:pPr>
            <w:r>
              <w:t>21</w:t>
            </w:r>
            <w:r>
              <w:rPr>
                <w:lang w:val="sr-Latn-ME"/>
              </w:rPr>
              <w:t>9</w:t>
            </w:r>
            <w:r>
              <w:t>.</w:t>
            </w:r>
            <w:r>
              <w:rPr>
                <w:lang w:val="sr-Latn-ME"/>
              </w:rPr>
              <w:t>611</w:t>
            </w:r>
            <w:r>
              <w:t>,6</w:t>
            </w:r>
            <w:r>
              <w:rPr>
                <w:lang w:val="sr-Latn-ME"/>
              </w:rPr>
              <w:t>5</w:t>
            </w:r>
          </w:p>
        </w:tc>
        <w:tc>
          <w:tcPr>
            <w:tcW w:w="1777" w:type="dxa"/>
            <w:tcBorders>
              <w:top w:val="single" w:color="000000" w:sz="4" w:space="0"/>
              <w:left w:val="single" w:color="000000" w:sz="4" w:space="0"/>
              <w:bottom w:val="single" w:color="000000" w:sz="4" w:space="0"/>
              <w:right w:val="single" w:color="000000" w:sz="4" w:space="0"/>
            </w:tcBorders>
            <w:vAlign w:val="center"/>
          </w:tcPr>
          <w:p>
            <w:pPr>
              <w:jc w:val="center"/>
            </w:pPr>
            <w:r>
              <w:t>228.</w:t>
            </w:r>
            <w:r>
              <w:rPr>
                <w:lang w:val="sr-Latn-ME"/>
              </w:rPr>
              <w:t>659</w:t>
            </w:r>
            <w:r>
              <w:t>,31</w:t>
            </w:r>
          </w:p>
        </w:tc>
        <w:tc>
          <w:tcPr>
            <w:tcW w:w="1385" w:type="dxa"/>
            <w:tcBorders>
              <w:top w:val="single" w:color="000000" w:sz="4" w:space="0"/>
              <w:left w:val="single" w:color="000000" w:sz="4" w:space="0"/>
              <w:bottom w:val="single" w:color="000000" w:sz="4" w:space="0"/>
              <w:right w:val="double" w:color="000000" w:sz="4" w:space="0"/>
            </w:tcBorders>
            <w:vAlign w:val="center"/>
          </w:tcPr>
          <w:p>
            <w:pPr>
              <w:jc w:val="center"/>
              <w:rPr>
                <w:lang w:val="sr-Latn-ME"/>
              </w:rPr>
            </w:pPr>
            <w:r>
              <w:rPr>
                <w:lang w:val="sr-Latn-ME"/>
              </w:rPr>
              <w:t>104</w:t>
            </w:r>
          </w:p>
        </w:tc>
      </w:tr>
      <w:tr>
        <w:tblPrEx>
          <w:tblCellMar>
            <w:top w:w="0" w:type="dxa"/>
            <w:left w:w="108" w:type="dxa"/>
            <w:bottom w:w="0" w:type="dxa"/>
            <w:right w:w="108" w:type="dxa"/>
          </w:tblCellMar>
        </w:tblPrEx>
        <w:trPr>
          <w:jc w:val="center"/>
        </w:trPr>
        <w:tc>
          <w:tcPr>
            <w:tcW w:w="970" w:type="dxa"/>
            <w:tcBorders>
              <w:top w:val="single" w:color="000000" w:sz="4" w:space="0"/>
              <w:left w:val="double" w:color="000000" w:sz="4" w:space="0"/>
              <w:bottom w:val="single" w:color="000000" w:sz="4" w:space="0"/>
              <w:right w:val="single" w:color="000000" w:sz="4" w:space="0"/>
            </w:tcBorders>
            <w:vAlign w:val="center"/>
          </w:tcPr>
          <w:p>
            <w:pPr>
              <w:rPr>
                <w:b/>
                <w:bCs/>
              </w:rPr>
            </w:pPr>
            <w:r>
              <w:rPr>
                <w:b/>
                <w:bCs/>
              </w:rPr>
              <w:t>6.</w:t>
            </w:r>
          </w:p>
        </w:tc>
        <w:tc>
          <w:tcPr>
            <w:tcW w:w="3766" w:type="dxa"/>
            <w:tcBorders>
              <w:top w:val="single" w:color="000000" w:sz="4" w:space="0"/>
              <w:left w:val="single" w:color="000000" w:sz="4" w:space="0"/>
              <w:bottom w:val="single" w:color="000000" w:sz="4" w:space="0"/>
              <w:right w:val="single" w:color="000000" w:sz="4" w:space="0"/>
            </w:tcBorders>
            <w:vAlign w:val="center"/>
          </w:tcPr>
          <w:p>
            <w:pPr>
              <w:rPr>
                <w:b/>
                <w:bCs/>
                <w:lang w:val="sr-Latn-ME"/>
              </w:rPr>
            </w:pPr>
            <w:r>
              <w:rPr>
                <w:b/>
                <w:bCs/>
                <w:lang w:val="sr-Latn-ME"/>
              </w:rPr>
              <w:t>Ostala poslovna terećenja</w:t>
            </w:r>
          </w:p>
        </w:tc>
        <w:tc>
          <w:tcPr>
            <w:tcW w:w="1704" w:type="dxa"/>
            <w:tcBorders>
              <w:top w:val="single" w:color="000000" w:sz="4" w:space="0"/>
              <w:left w:val="single" w:color="000000" w:sz="4" w:space="0"/>
              <w:bottom w:val="single" w:color="000000" w:sz="4" w:space="0"/>
              <w:right w:val="single" w:color="000000" w:sz="4" w:space="0"/>
            </w:tcBorders>
            <w:vAlign w:val="center"/>
          </w:tcPr>
          <w:p>
            <w:pPr>
              <w:jc w:val="center"/>
            </w:pPr>
            <w:r>
              <w:t>1</w:t>
            </w:r>
            <w:r>
              <w:rPr>
                <w:lang w:val="sr-Latn-ME"/>
              </w:rPr>
              <w:t>4</w:t>
            </w:r>
            <w:r>
              <w:t>2.</w:t>
            </w:r>
            <w:r>
              <w:rPr>
                <w:lang w:val="sr-Latn-ME"/>
              </w:rPr>
              <w:t>454</w:t>
            </w:r>
            <w:r>
              <w:t>,</w:t>
            </w:r>
            <w:r>
              <w:rPr>
                <w:lang w:val="sr-Latn-ME"/>
              </w:rPr>
              <w:t>61</w:t>
            </w:r>
          </w:p>
        </w:tc>
        <w:tc>
          <w:tcPr>
            <w:tcW w:w="1777" w:type="dxa"/>
            <w:tcBorders>
              <w:top w:val="single" w:color="000000" w:sz="4" w:space="0"/>
              <w:left w:val="single" w:color="000000" w:sz="4" w:space="0"/>
              <w:bottom w:val="single" w:color="000000" w:sz="4" w:space="0"/>
              <w:right w:val="single" w:color="000000" w:sz="4" w:space="0"/>
            </w:tcBorders>
            <w:vAlign w:val="center"/>
          </w:tcPr>
          <w:p>
            <w:pPr>
              <w:jc w:val="center"/>
            </w:pPr>
            <w:r>
              <w:t>1</w:t>
            </w:r>
            <w:r>
              <w:rPr>
                <w:lang w:val="sr-Latn-ME"/>
              </w:rPr>
              <w:t>4</w:t>
            </w:r>
            <w:r>
              <w:t>5.</w:t>
            </w:r>
            <w:r>
              <w:rPr>
                <w:lang w:val="sr-Latn-ME"/>
              </w:rPr>
              <w:t>888</w:t>
            </w:r>
            <w:r>
              <w:t>,</w:t>
            </w:r>
            <w:r>
              <w:rPr>
                <w:lang w:val="sr-Latn-ME"/>
              </w:rPr>
              <w:t>46</w:t>
            </w:r>
          </w:p>
        </w:tc>
        <w:tc>
          <w:tcPr>
            <w:tcW w:w="1385" w:type="dxa"/>
            <w:tcBorders>
              <w:top w:val="single" w:color="000000" w:sz="4" w:space="0"/>
              <w:left w:val="single" w:color="000000" w:sz="4" w:space="0"/>
              <w:bottom w:val="single" w:color="000000" w:sz="4" w:space="0"/>
              <w:right w:val="double" w:color="000000" w:sz="4" w:space="0"/>
            </w:tcBorders>
            <w:vAlign w:val="center"/>
          </w:tcPr>
          <w:p>
            <w:pPr>
              <w:jc w:val="center"/>
            </w:pPr>
            <w:r>
              <w:t>1</w:t>
            </w:r>
            <w:r>
              <w:rPr>
                <w:lang w:val="sr-Latn-ME"/>
              </w:rPr>
              <w:t>02</w:t>
            </w:r>
          </w:p>
        </w:tc>
      </w:tr>
      <w:tr>
        <w:tblPrEx>
          <w:tblCellMar>
            <w:top w:w="0" w:type="dxa"/>
            <w:left w:w="108" w:type="dxa"/>
            <w:bottom w:w="0" w:type="dxa"/>
            <w:right w:w="108" w:type="dxa"/>
          </w:tblCellMar>
        </w:tblPrEx>
        <w:trPr>
          <w:jc w:val="center"/>
        </w:trPr>
        <w:tc>
          <w:tcPr>
            <w:tcW w:w="970" w:type="dxa"/>
            <w:tcBorders>
              <w:top w:val="single" w:color="000000" w:sz="4" w:space="0"/>
              <w:left w:val="double" w:color="000000" w:sz="4" w:space="0"/>
              <w:bottom w:val="single" w:color="000000" w:sz="4" w:space="0"/>
              <w:right w:val="single" w:color="000000" w:sz="4" w:space="0"/>
            </w:tcBorders>
            <w:vAlign w:val="center"/>
          </w:tcPr>
          <w:p>
            <w:pPr>
              <w:jc w:val="right"/>
            </w:pPr>
            <w:r>
              <w:t>6.1</w:t>
            </w:r>
          </w:p>
        </w:tc>
        <w:tc>
          <w:tcPr>
            <w:tcW w:w="3766" w:type="dxa"/>
            <w:tcBorders>
              <w:top w:val="single" w:color="000000" w:sz="4" w:space="0"/>
              <w:left w:val="single" w:color="000000" w:sz="4" w:space="0"/>
              <w:bottom w:val="single" w:color="000000" w:sz="4" w:space="0"/>
              <w:right w:val="single" w:color="000000" w:sz="4" w:space="0"/>
            </w:tcBorders>
            <w:vAlign w:val="center"/>
          </w:tcPr>
          <w:p>
            <w:pPr>
              <w:rPr>
                <w:lang w:val="sr-Latn-ME"/>
              </w:rPr>
            </w:pPr>
            <w:r>
              <w:rPr>
                <w:lang w:val="sr-Latn-ME"/>
              </w:rPr>
              <w:t>Troškovi prevoza i PTT</w:t>
            </w:r>
          </w:p>
        </w:tc>
        <w:tc>
          <w:tcPr>
            <w:tcW w:w="1704" w:type="dxa"/>
            <w:tcBorders>
              <w:top w:val="single" w:color="000000" w:sz="4" w:space="0"/>
              <w:left w:val="single" w:color="000000" w:sz="4" w:space="0"/>
              <w:bottom w:val="single" w:color="000000" w:sz="4" w:space="0"/>
              <w:right w:val="single" w:color="000000" w:sz="4" w:space="0"/>
            </w:tcBorders>
            <w:vAlign w:val="center"/>
          </w:tcPr>
          <w:p>
            <w:pPr>
              <w:jc w:val="center"/>
            </w:pPr>
            <w:r>
              <w:rPr>
                <w:lang w:val="sr-Latn-ME"/>
              </w:rPr>
              <w:t>3</w:t>
            </w:r>
            <w:r>
              <w:t>.</w:t>
            </w:r>
            <w:r>
              <w:rPr>
                <w:lang w:val="sr-Latn-ME"/>
              </w:rPr>
              <w:t>281</w:t>
            </w:r>
            <w:r>
              <w:t>,</w:t>
            </w:r>
            <w:r>
              <w:rPr>
                <w:lang w:val="sr-Latn-ME"/>
              </w:rPr>
              <w:t>45</w:t>
            </w:r>
          </w:p>
        </w:tc>
        <w:tc>
          <w:tcPr>
            <w:tcW w:w="1777" w:type="dxa"/>
            <w:tcBorders>
              <w:top w:val="single" w:color="000000" w:sz="4" w:space="0"/>
              <w:left w:val="single" w:color="000000" w:sz="4" w:space="0"/>
              <w:bottom w:val="single" w:color="000000" w:sz="4" w:space="0"/>
              <w:right w:val="single" w:color="000000" w:sz="4" w:space="0"/>
            </w:tcBorders>
            <w:vAlign w:val="center"/>
          </w:tcPr>
          <w:p>
            <w:pPr>
              <w:jc w:val="center"/>
            </w:pPr>
            <w:r>
              <w:rPr>
                <w:lang w:val="sr-Latn-ME"/>
              </w:rPr>
              <w:t>3</w:t>
            </w:r>
            <w:r>
              <w:t>.</w:t>
            </w:r>
            <w:r>
              <w:rPr>
                <w:lang w:val="sr-Latn-ME"/>
              </w:rPr>
              <w:t>472</w:t>
            </w:r>
            <w:r>
              <w:t>,</w:t>
            </w:r>
            <w:r>
              <w:rPr>
                <w:lang w:val="sr-Latn-ME"/>
              </w:rPr>
              <w:t>99</w:t>
            </w:r>
          </w:p>
        </w:tc>
        <w:tc>
          <w:tcPr>
            <w:tcW w:w="1385" w:type="dxa"/>
            <w:tcBorders>
              <w:top w:val="single" w:color="000000" w:sz="4" w:space="0"/>
              <w:left w:val="single" w:color="000000" w:sz="4" w:space="0"/>
              <w:bottom w:val="single" w:color="000000" w:sz="4" w:space="0"/>
              <w:right w:val="double" w:color="000000" w:sz="4" w:space="0"/>
            </w:tcBorders>
            <w:vAlign w:val="center"/>
          </w:tcPr>
          <w:p>
            <w:pPr>
              <w:jc w:val="center"/>
              <w:rPr>
                <w:lang w:val="sr-Latn-ME"/>
              </w:rPr>
            </w:pPr>
            <w:r>
              <w:rPr>
                <w:lang w:val="sr-Latn-ME"/>
              </w:rPr>
              <w:t>106</w:t>
            </w:r>
          </w:p>
        </w:tc>
      </w:tr>
      <w:tr>
        <w:tblPrEx>
          <w:tblCellMar>
            <w:top w:w="0" w:type="dxa"/>
            <w:left w:w="108" w:type="dxa"/>
            <w:bottom w:w="0" w:type="dxa"/>
            <w:right w:w="108" w:type="dxa"/>
          </w:tblCellMar>
        </w:tblPrEx>
        <w:trPr>
          <w:jc w:val="center"/>
        </w:trPr>
        <w:tc>
          <w:tcPr>
            <w:tcW w:w="970" w:type="dxa"/>
            <w:tcBorders>
              <w:top w:val="single" w:color="000000" w:sz="4" w:space="0"/>
              <w:left w:val="double" w:color="000000" w:sz="4" w:space="0"/>
              <w:bottom w:val="single" w:color="000000" w:sz="4" w:space="0"/>
              <w:right w:val="single" w:color="000000" w:sz="4" w:space="0"/>
            </w:tcBorders>
            <w:vAlign w:val="center"/>
          </w:tcPr>
          <w:p>
            <w:pPr>
              <w:jc w:val="right"/>
            </w:pPr>
            <w:r>
              <w:t>6.2</w:t>
            </w:r>
          </w:p>
        </w:tc>
        <w:tc>
          <w:tcPr>
            <w:tcW w:w="3766" w:type="dxa"/>
            <w:tcBorders>
              <w:top w:val="single" w:color="000000" w:sz="4" w:space="0"/>
              <w:left w:val="single" w:color="000000" w:sz="4" w:space="0"/>
              <w:bottom w:val="single" w:color="000000" w:sz="4" w:space="0"/>
              <w:right w:val="single" w:color="000000" w:sz="4" w:space="0"/>
            </w:tcBorders>
            <w:vAlign w:val="center"/>
          </w:tcPr>
          <w:p>
            <w:pPr>
              <w:rPr>
                <w:lang w:val="sr-Latn-ME"/>
              </w:rPr>
            </w:pPr>
            <w:r>
              <w:rPr>
                <w:lang w:val="sr-Latn-ME"/>
              </w:rPr>
              <w:t>Tekuće i investiciono održavanje osnovnih sredstava</w:t>
            </w:r>
          </w:p>
        </w:tc>
        <w:tc>
          <w:tcPr>
            <w:tcW w:w="1704" w:type="dxa"/>
            <w:tcBorders>
              <w:top w:val="single" w:color="000000" w:sz="4" w:space="0"/>
              <w:left w:val="single" w:color="000000" w:sz="4" w:space="0"/>
              <w:bottom w:val="single" w:color="000000" w:sz="4" w:space="0"/>
              <w:right w:val="single" w:color="000000" w:sz="4" w:space="0"/>
            </w:tcBorders>
            <w:vAlign w:val="center"/>
          </w:tcPr>
          <w:p>
            <w:pPr>
              <w:jc w:val="center"/>
            </w:pPr>
            <w:r>
              <w:rPr>
                <w:lang w:val="sr-Latn-ME"/>
              </w:rPr>
              <w:t>21</w:t>
            </w:r>
            <w:r>
              <w:t>.</w:t>
            </w:r>
            <w:r>
              <w:rPr>
                <w:lang w:val="sr-Latn-ME"/>
              </w:rPr>
              <w:t>809</w:t>
            </w:r>
            <w:r>
              <w:t>,</w:t>
            </w:r>
            <w:r>
              <w:rPr>
                <w:lang w:val="sr-Latn-ME"/>
              </w:rPr>
              <w:t>17</w:t>
            </w:r>
          </w:p>
        </w:tc>
        <w:tc>
          <w:tcPr>
            <w:tcW w:w="1777" w:type="dxa"/>
            <w:tcBorders>
              <w:top w:val="single" w:color="000000" w:sz="4" w:space="0"/>
              <w:left w:val="single" w:color="000000" w:sz="4" w:space="0"/>
              <w:bottom w:val="single" w:color="000000" w:sz="4" w:space="0"/>
              <w:right w:val="single" w:color="000000" w:sz="4" w:space="0"/>
            </w:tcBorders>
            <w:vAlign w:val="center"/>
          </w:tcPr>
          <w:p>
            <w:pPr>
              <w:jc w:val="center"/>
            </w:pPr>
            <w:r>
              <w:rPr>
                <w:lang w:val="sr-Latn-ME"/>
              </w:rPr>
              <w:t>24</w:t>
            </w:r>
            <w:r>
              <w:t>.</w:t>
            </w:r>
            <w:r>
              <w:rPr>
                <w:lang w:val="sr-Latn-ME"/>
              </w:rPr>
              <w:t>463</w:t>
            </w:r>
            <w:r>
              <w:t>,</w:t>
            </w:r>
            <w:r>
              <w:rPr>
                <w:lang w:val="sr-Latn-ME"/>
              </w:rPr>
              <w:t>71</w:t>
            </w:r>
          </w:p>
        </w:tc>
        <w:tc>
          <w:tcPr>
            <w:tcW w:w="1385" w:type="dxa"/>
            <w:tcBorders>
              <w:top w:val="single" w:color="000000" w:sz="4" w:space="0"/>
              <w:left w:val="single" w:color="000000" w:sz="4" w:space="0"/>
              <w:bottom w:val="single" w:color="000000" w:sz="4" w:space="0"/>
              <w:right w:val="double" w:color="000000" w:sz="4" w:space="0"/>
            </w:tcBorders>
            <w:vAlign w:val="center"/>
          </w:tcPr>
          <w:p>
            <w:pPr>
              <w:jc w:val="center"/>
            </w:pPr>
            <w:r>
              <w:t>112</w:t>
            </w:r>
          </w:p>
        </w:tc>
      </w:tr>
      <w:tr>
        <w:tblPrEx>
          <w:tblCellMar>
            <w:top w:w="0" w:type="dxa"/>
            <w:left w:w="108" w:type="dxa"/>
            <w:bottom w:w="0" w:type="dxa"/>
            <w:right w:w="108" w:type="dxa"/>
          </w:tblCellMar>
        </w:tblPrEx>
        <w:trPr>
          <w:jc w:val="center"/>
        </w:trPr>
        <w:tc>
          <w:tcPr>
            <w:tcW w:w="970" w:type="dxa"/>
            <w:tcBorders>
              <w:top w:val="single" w:color="000000" w:sz="4" w:space="0"/>
              <w:left w:val="double" w:color="000000" w:sz="4" w:space="0"/>
              <w:bottom w:val="single" w:color="000000" w:sz="4" w:space="0"/>
              <w:right w:val="single" w:color="000000" w:sz="4" w:space="0"/>
            </w:tcBorders>
            <w:vAlign w:val="center"/>
          </w:tcPr>
          <w:p>
            <w:pPr>
              <w:jc w:val="right"/>
            </w:pPr>
            <w:r>
              <w:t>6.3</w:t>
            </w:r>
          </w:p>
        </w:tc>
        <w:tc>
          <w:tcPr>
            <w:tcW w:w="3766" w:type="dxa"/>
            <w:tcBorders>
              <w:top w:val="single" w:color="000000" w:sz="4" w:space="0"/>
              <w:left w:val="single" w:color="000000" w:sz="4" w:space="0"/>
              <w:bottom w:val="single" w:color="000000" w:sz="4" w:space="0"/>
              <w:right w:val="single" w:color="000000" w:sz="4" w:space="0"/>
            </w:tcBorders>
            <w:vAlign w:val="center"/>
          </w:tcPr>
          <w:p>
            <w:pPr>
              <w:rPr>
                <w:lang w:val="sr-Latn-ME"/>
              </w:rPr>
            </w:pPr>
            <w:r>
              <w:rPr>
                <w:lang w:val="sr-Latn-ME"/>
              </w:rPr>
              <w:t>Troškovi reklame, pomoći, sponzorstava, oglasi i stručna literatura</w:t>
            </w:r>
          </w:p>
        </w:tc>
        <w:tc>
          <w:tcPr>
            <w:tcW w:w="1704" w:type="dxa"/>
            <w:tcBorders>
              <w:top w:val="single" w:color="000000" w:sz="4" w:space="0"/>
              <w:left w:val="single" w:color="000000" w:sz="4" w:space="0"/>
              <w:bottom w:val="single" w:color="000000" w:sz="4" w:space="0"/>
              <w:right w:val="single" w:color="000000" w:sz="4" w:space="0"/>
            </w:tcBorders>
            <w:vAlign w:val="center"/>
          </w:tcPr>
          <w:p>
            <w:pPr>
              <w:jc w:val="center"/>
            </w:pPr>
            <w:r>
              <w:rPr>
                <w:lang w:val="sr-Latn-ME"/>
              </w:rPr>
              <w:t>5</w:t>
            </w:r>
            <w:r>
              <w:t>.</w:t>
            </w:r>
            <w:r>
              <w:rPr>
                <w:lang w:val="sr-Latn-ME"/>
              </w:rPr>
              <w:t>729</w:t>
            </w:r>
            <w:r>
              <w:t>,</w:t>
            </w:r>
            <w:r>
              <w:rPr>
                <w:lang w:val="sr-Latn-ME"/>
              </w:rPr>
              <w:t>94</w:t>
            </w:r>
          </w:p>
        </w:tc>
        <w:tc>
          <w:tcPr>
            <w:tcW w:w="1777" w:type="dxa"/>
            <w:tcBorders>
              <w:top w:val="single" w:color="000000" w:sz="4" w:space="0"/>
              <w:left w:val="single" w:color="000000" w:sz="4" w:space="0"/>
              <w:bottom w:val="single" w:color="000000" w:sz="4" w:space="0"/>
              <w:right w:val="single" w:color="000000" w:sz="4" w:space="0"/>
            </w:tcBorders>
            <w:vAlign w:val="center"/>
          </w:tcPr>
          <w:p>
            <w:pPr>
              <w:jc w:val="center"/>
            </w:pPr>
            <w:r>
              <w:rPr>
                <w:lang w:val="sr-Latn-ME"/>
              </w:rPr>
              <w:t>1</w:t>
            </w:r>
            <w:r>
              <w:t>.</w:t>
            </w:r>
            <w:r>
              <w:rPr>
                <w:lang w:val="sr-Latn-ME"/>
              </w:rPr>
              <w:t>991</w:t>
            </w:r>
            <w:r>
              <w:t>,</w:t>
            </w:r>
            <w:r>
              <w:rPr>
                <w:lang w:val="sr-Latn-ME"/>
              </w:rPr>
              <w:t>01</w:t>
            </w:r>
          </w:p>
        </w:tc>
        <w:tc>
          <w:tcPr>
            <w:tcW w:w="1385" w:type="dxa"/>
            <w:tcBorders>
              <w:top w:val="single" w:color="000000" w:sz="4" w:space="0"/>
              <w:left w:val="single" w:color="000000" w:sz="4" w:space="0"/>
              <w:bottom w:val="single" w:color="000000" w:sz="4" w:space="0"/>
              <w:right w:val="double" w:color="000000" w:sz="4" w:space="0"/>
            </w:tcBorders>
            <w:vAlign w:val="center"/>
          </w:tcPr>
          <w:p>
            <w:pPr>
              <w:jc w:val="center"/>
            </w:pPr>
            <w:r>
              <w:rPr>
                <w:lang w:val="sr-Latn-ME"/>
              </w:rPr>
              <w:t>35</w:t>
            </w:r>
          </w:p>
        </w:tc>
      </w:tr>
      <w:tr>
        <w:tblPrEx>
          <w:tblCellMar>
            <w:top w:w="0" w:type="dxa"/>
            <w:left w:w="108" w:type="dxa"/>
            <w:bottom w:w="0" w:type="dxa"/>
            <w:right w:w="108" w:type="dxa"/>
          </w:tblCellMar>
        </w:tblPrEx>
        <w:trPr>
          <w:jc w:val="center"/>
        </w:trPr>
        <w:tc>
          <w:tcPr>
            <w:tcW w:w="970" w:type="dxa"/>
            <w:tcBorders>
              <w:top w:val="single" w:color="000000" w:sz="4" w:space="0"/>
              <w:left w:val="double" w:color="000000" w:sz="4" w:space="0"/>
              <w:bottom w:val="single" w:color="000000" w:sz="4" w:space="0"/>
              <w:right w:val="single" w:color="000000" w:sz="4" w:space="0"/>
            </w:tcBorders>
            <w:vAlign w:val="center"/>
          </w:tcPr>
          <w:p>
            <w:pPr>
              <w:jc w:val="right"/>
            </w:pPr>
            <w:r>
              <w:t>6.4</w:t>
            </w:r>
          </w:p>
        </w:tc>
        <w:tc>
          <w:tcPr>
            <w:tcW w:w="3766" w:type="dxa"/>
            <w:tcBorders>
              <w:top w:val="single" w:color="000000" w:sz="4" w:space="0"/>
              <w:left w:val="single" w:color="000000" w:sz="4" w:space="0"/>
              <w:bottom w:val="single" w:color="000000" w:sz="4" w:space="0"/>
              <w:right w:val="single" w:color="000000" w:sz="4" w:space="0"/>
            </w:tcBorders>
            <w:vAlign w:val="center"/>
          </w:tcPr>
          <w:p>
            <w:pPr>
              <w:rPr>
                <w:lang w:val="sr-Latn-ME"/>
              </w:rPr>
            </w:pPr>
            <w:r>
              <w:rPr>
                <w:lang w:val="sr-Latn-ME"/>
              </w:rPr>
              <w:t>Troškovi osiguranja zaposlenih</w:t>
            </w:r>
          </w:p>
        </w:tc>
        <w:tc>
          <w:tcPr>
            <w:tcW w:w="1704" w:type="dxa"/>
            <w:tcBorders>
              <w:top w:val="single" w:color="000000" w:sz="4" w:space="0"/>
              <w:left w:val="single" w:color="000000" w:sz="4" w:space="0"/>
              <w:bottom w:val="single" w:color="000000" w:sz="4" w:space="0"/>
              <w:right w:val="single" w:color="000000" w:sz="4" w:space="0"/>
            </w:tcBorders>
            <w:vAlign w:val="center"/>
          </w:tcPr>
          <w:p>
            <w:pPr>
              <w:jc w:val="center"/>
            </w:pPr>
            <w:r>
              <w:rPr>
                <w:lang w:val="sr-Latn-ME"/>
              </w:rPr>
              <w:t>2</w:t>
            </w:r>
            <w:r>
              <w:t>.</w:t>
            </w:r>
            <w:r>
              <w:rPr>
                <w:lang w:val="sr-Latn-ME"/>
              </w:rPr>
              <w:t>01</w:t>
            </w:r>
            <w:r>
              <w:t>9,</w:t>
            </w:r>
            <w:r>
              <w:rPr>
                <w:lang w:val="sr-Latn-ME"/>
              </w:rPr>
              <w:t>26</w:t>
            </w:r>
          </w:p>
        </w:tc>
        <w:tc>
          <w:tcPr>
            <w:tcW w:w="1777" w:type="dxa"/>
            <w:tcBorders>
              <w:top w:val="single" w:color="000000" w:sz="4" w:space="0"/>
              <w:left w:val="single" w:color="000000" w:sz="4" w:space="0"/>
              <w:bottom w:val="single" w:color="000000" w:sz="4" w:space="0"/>
              <w:right w:val="single" w:color="000000" w:sz="4" w:space="0"/>
            </w:tcBorders>
            <w:vAlign w:val="center"/>
          </w:tcPr>
          <w:p>
            <w:pPr>
              <w:jc w:val="center"/>
            </w:pPr>
            <w:r>
              <w:rPr>
                <w:lang w:val="sr-Latn-ME"/>
              </w:rPr>
              <w:t>2</w:t>
            </w:r>
            <w:r>
              <w:t>.</w:t>
            </w:r>
            <w:r>
              <w:rPr>
                <w:lang w:val="sr-Latn-ME"/>
              </w:rPr>
              <w:t>002</w:t>
            </w:r>
            <w:r>
              <w:t>,</w:t>
            </w:r>
            <w:r>
              <w:rPr>
                <w:lang w:val="sr-Latn-ME"/>
              </w:rPr>
              <w:t>51</w:t>
            </w:r>
          </w:p>
        </w:tc>
        <w:tc>
          <w:tcPr>
            <w:tcW w:w="1385" w:type="dxa"/>
            <w:tcBorders>
              <w:top w:val="single" w:color="000000" w:sz="4" w:space="0"/>
              <w:left w:val="single" w:color="000000" w:sz="4" w:space="0"/>
              <w:bottom w:val="single" w:color="000000" w:sz="4" w:space="0"/>
              <w:right w:val="double" w:color="000000" w:sz="4" w:space="0"/>
            </w:tcBorders>
            <w:vAlign w:val="center"/>
          </w:tcPr>
          <w:p>
            <w:pPr>
              <w:jc w:val="center"/>
              <w:rPr>
                <w:lang w:val="sr-Latn-ME"/>
              </w:rPr>
            </w:pPr>
            <w:r>
              <w:rPr>
                <w:lang w:val="sr-Latn-ME"/>
              </w:rPr>
              <w:t>99</w:t>
            </w:r>
          </w:p>
        </w:tc>
      </w:tr>
      <w:tr>
        <w:tblPrEx>
          <w:tblCellMar>
            <w:top w:w="0" w:type="dxa"/>
            <w:left w:w="108" w:type="dxa"/>
            <w:bottom w:w="0" w:type="dxa"/>
            <w:right w:w="108" w:type="dxa"/>
          </w:tblCellMar>
        </w:tblPrEx>
        <w:trPr>
          <w:jc w:val="center"/>
        </w:trPr>
        <w:tc>
          <w:tcPr>
            <w:tcW w:w="970" w:type="dxa"/>
            <w:tcBorders>
              <w:top w:val="single" w:color="000000" w:sz="4" w:space="0"/>
              <w:left w:val="double" w:color="000000" w:sz="4" w:space="0"/>
              <w:bottom w:val="single" w:color="000000" w:sz="4" w:space="0"/>
              <w:right w:val="single" w:color="000000" w:sz="4" w:space="0"/>
            </w:tcBorders>
            <w:vAlign w:val="center"/>
          </w:tcPr>
          <w:p>
            <w:pPr>
              <w:jc w:val="right"/>
            </w:pPr>
            <w:r>
              <w:t>6.5</w:t>
            </w:r>
          </w:p>
        </w:tc>
        <w:tc>
          <w:tcPr>
            <w:tcW w:w="3766" w:type="dxa"/>
            <w:tcBorders>
              <w:top w:val="single" w:color="000000" w:sz="4" w:space="0"/>
              <w:left w:val="single" w:color="000000" w:sz="4" w:space="0"/>
              <w:bottom w:val="single" w:color="000000" w:sz="4" w:space="0"/>
              <w:right w:val="single" w:color="000000" w:sz="4" w:space="0"/>
            </w:tcBorders>
            <w:vAlign w:val="center"/>
          </w:tcPr>
          <w:p>
            <w:pPr>
              <w:rPr>
                <w:lang w:val="sr-Latn-ME"/>
              </w:rPr>
            </w:pPr>
            <w:r>
              <w:rPr>
                <w:lang w:val="sr-Latn-ME"/>
              </w:rPr>
              <w:t>Troškovi osiguranja imovine</w:t>
            </w:r>
          </w:p>
        </w:tc>
        <w:tc>
          <w:tcPr>
            <w:tcW w:w="1704" w:type="dxa"/>
            <w:tcBorders>
              <w:top w:val="single" w:color="000000" w:sz="4" w:space="0"/>
              <w:left w:val="single" w:color="000000" w:sz="4" w:space="0"/>
              <w:bottom w:val="single" w:color="000000" w:sz="4" w:space="0"/>
              <w:right w:val="single" w:color="000000" w:sz="4" w:space="0"/>
            </w:tcBorders>
            <w:vAlign w:val="center"/>
          </w:tcPr>
          <w:p>
            <w:pPr>
              <w:jc w:val="center"/>
            </w:pPr>
            <w:r>
              <w:t>2</w:t>
            </w:r>
            <w:r>
              <w:rPr>
                <w:lang w:val="sr-Latn-ME"/>
              </w:rPr>
              <w:t>3</w:t>
            </w:r>
            <w:r>
              <w:t>8,</w:t>
            </w:r>
            <w:r>
              <w:rPr>
                <w:lang w:val="sr-Latn-ME"/>
              </w:rPr>
              <w:t>96</w:t>
            </w:r>
          </w:p>
        </w:tc>
        <w:tc>
          <w:tcPr>
            <w:tcW w:w="1777" w:type="dxa"/>
            <w:tcBorders>
              <w:top w:val="single" w:color="000000" w:sz="4" w:space="0"/>
              <w:left w:val="single" w:color="000000" w:sz="4" w:space="0"/>
              <w:bottom w:val="single" w:color="000000" w:sz="4" w:space="0"/>
              <w:right w:val="single" w:color="000000" w:sz="4" w:space="0"/>
            </w:tcBorders>
            <w:vAlign w:val="center"/>
          </w:tcPr>
          <w:p>
            <w:pPr>
              <w:jc w:val="center"/>
            </w:pPr>
            <w:r>
              <w:t>2</w:t>
            </w:r>
            <w:r>
              <w:rPr>
                <w:lang w:val="sr-Latn-ME"/>
              </w:rPr>
              <w:t>52</w:t>
            </w:r>
            <w:r>
              <w:t>,</w:t>
            </w:r>
            <w:r>
              <w:rPr>
                <w:lang w:val="sr-Latn-ME"/>
              </w:rPr>
              <w:t>26</w:t>
            </w:r>
          </w:p>
        </w:tc>
        <w:tc>
          <w:tcPr>
            <w:tcW w:w="1385" w:type="dxa"/>
            <w:tcBorders>
              <w:top w:val="single" w:color="000000" w:sz="4" w:space="0"/>
              <w:left w:val="single" w:color="000000" w:sz="4" w:space="0"/>
              <w:bottom w:val="single" w:color="000000" w:sz="4" w:space="0"/>
              <w:right w:val="double" w:color="000000" w:sz="4" w:space="0"/>
            </w:tcBorders>
            <w:vAlign w:val="center"/>
          </w:tcPr>
          <w:p>
            <w:pPr>
              <w:jc w:val="center"/>
            </w:pPr>
            <w:r>
              <w:t>106</w:t>
            </w:r>
          </w:p>
        </w:tc>
      </w:tr>
      <w:tr>
        <w:tblPrEx>
          <w:tblCellMar>
            <w:top w:w="0" w:type="dxa"/>
            <w:left w:w="108" w:type="dxa"/>
            <w:bottom w:w="0" w:type="dxa"/>
            <w:right w:w="108" w:type="dxa"/>
          </w:tblCellMar>
        </w:tblPrEx>
        <w:trPr>
          <w:jc w:val="center"/>
        </w:trPr>
        <w:tc>
          <w:tcPr>
            <w:tcW w:w="970" w:type="dxa"/>
            <w:tcBorders>
              <w:top w:val="single" w:color="000000" w:sz="4" w:space="0"/>
              <w:left w:val="double" w:color="000000" w:sz="4" w:space="0"/>
              <w:bottom w:val="single" w:color="000000" w:sz="4" w:space="0"/>
              <w:right w:val="single" w:color="000000" w:sz="4" w:space="0"/>
            </w:tcBorders>
            <w:vAlign w:val="center"/>
          </w:tcPr>
          <w:p>
            <w:pPr>
              <w:jc w:val="right"/>
            </w:pPr>
            <w:r>
              <w:t>6.6</w:t>
            </w:r>
          </w:p>
        </w:tc>
        <w:tc>
          <w:tcPr>
            <w:tcW w:w="3766" w:type="dxa"/>
            <w:tcBorders>
              <w:top w:val="single" w:color="000000" w:sz="4" w:space="0"/>
              <w:left w:val="single" w:color="000000" w:sz="4" w:space="0"/>
              <w:bottom w:val="single" w:color="000000" w:sz="4" w:space="0"/>
              <w:right w:val="single" w:color="000000" w:sz="4" w:space="0"/>
            </w:tcBorders>
            <w:vAlign w:val="center"/>
          </w:tcPr>
          <w:p>
            <w:pPr>
              <w:rPr>
                <w:lang w:val="sr-Latn-ME"/>
              </w:rPr>
            </w:pPr>
            <w:r>
              <w:rPr>
                <w:lang w:val="sr-Latn-ME"/>
              </w:rPr>
              <w:t>Trošak fizičkog obezbjeđenja imovine</w:t>
            </w:r>
          </w:p>
        </w:tc>
        <w:tc>
          <w:tcPr>
            <w:tcW w:w="1704" w:type="dxa"/>
            <w:tcBorders>
              <w:top w:val="single" w:color="000000" w:sz="4" w:space="0"/>
              <w:left w:val="single" w:color="000000" w:sz="4" w:space="0"/>
              <w:bottom w:val="single" w:color="000000" w:sz="4" w:space="0"/>
              <w:right w:val="single" w:color="000000" w:sz="4" w:space="0"/>
            </w:tcBorders>
            <w:vAlign w:val="center"/>
          </w:tcPr>
          <w:p>
            <w:pPr>
              <w:jc w:val="center"/>
            </w:pPr>
            <w:r>
              <w:t>1</w:t>
            </w:r>
            <w:r>
              <w:rPr>
                <w:lang w:val="sr-Latn-ME"/>
              </w:rPr>
              <w:t>1</w:t>
            </w:r>
            <w:r>
              <w:t>.</w:t>
            </w:r>
            <w:r>
              <w:rPr>
                <w:lang w:val="sr-Latn-ME"/>
              </w:rPr>
              <w:t>501</w:t>
            </w:r>
            <w:r>
              <w:t>,</w:t>
            </w:r>
            <w:r>
              <w:rPr>
                <w:lang w:val="sr-Latn-ME"/>
              </w:rPr>
              <w:t>00</w:t>
            </w:r>
          </w:p>
        </w:tc>
        <w:tc>
          <w:tcPr>
            <w:tcW w:w="1777" w:type="dxa"/>
            <w:tcBorders>
              <w:top w:val="single" w:color="000000" w:sz="4" w:space="0"/>
              <w:left w:val="single" w:color="000000" w:sz="4" w:space="0"/>
              <w:bottom w:val="single" w:color="000000" w:sz="4" w:space="0"/>
              <w:right w:val="single" w:color="000000" w:sz="4" w:space="0"/>
            </w:tcBorders>
            <w:vAlign w:val="center"/>
          </w:tcPr>
          <w:p>
            <w:pPr>
              <w:jc w:val="center"/>
            </w:pPr>
            <w:r>
              <w:t>1</w:t>
            </w:r>
            <w:r>
              <w:rPr>
                <w:lang w:val="sr-Latn-ME"/>
              </w:rPr>
              <w:t>3</w:t>
            </w:r>
            <w:r>
              <w:t>.</w:t>
            </w:r>
            <w:r>
              <w:rPr>
                <w:lang w:val="sr-Latn-ME"/>
              </w:rPr>
              <w:t>316</w:t>
            </w:r>
            <w:r>
              <w:t>,</w:t>
            </w:r>
            <w:r>
              <w:rPr>
                <w:lang w:val="sr-Latn-ME"/>
              </w:rPr>
              <w:t>76</w:t>
            </w:r>
          </w:p>
        </w:tc>
        <w:tc>
          <w:tcPr>
            <w:tcW w:w="1385" w:type="dxa"/>
            <w:tcBorders>
              <w:top w:val="single" w:color="000000" w:sz="4" w:space="0"/>
              <w:left w:val="single" w:color="000000" w:sz="4" w:space="0"/>
              <w:bottom w:val="single" w:color="000000" w:sz="4" w:space="0"/>
              <w:right w:val="double" w:color="000000" w:sz="4" w:space="0"/>
            </w:tcBorders>
            <w:vAlign w:val="center"/>
          </w:tcPr>
          <w:p>
            <w:pPr>
              <w:jc w:val="center"/>
              <w:rPr>
                <w:lang w:val="sr-Latn-ME"/>
              </w:rPr>
            </w:pPr>
            <w:r>
              <w:rPr>
                <w:lang w:val="sr-Latn-ME"/>
              </w:rPr>
              <w:t>116</w:t>
            </w:r>
          </w:p>
        </w:tc>
      </w:tr>
      <w:tr>
        <w:tblPrEx>
          <w:tblCellMar>
            <w:top w:w="0" w:type="dxa"/>
            <w:left w:w="108" w:type="dxa"/>
            <w:bottom w:w="0" w:type="dxa"/>
            <w:right w:w="108" w:type="dxa"/>
          </w:tblCellMar>
        </w:tblPrEx>
        <w:trPr>
          <w:jc w:val="center"/>
        </w:trPr>
        <w:tc>
          <w:tcPr>
            <w:tcW w:w="970" w:type="dxa"/>
            <w:tcBorders>
              <w:top w:val="single" w:color="000000" w:sz="4" w:space="0"/>
              <w:left w:val="double" w:color="000000" w:sz="4" w:space="0"/>
              <w:bottom w:val="single" w:color="000000" w:sz="4" w:space="0"/>
              <w:right w:val="single" w:color="000000" w:sz="4" w:space="0"/>
            </w:tcBorders>
            <w:vAlign w:val="center"/>
          </w:tcPr>
          <w:p>
            <w:pPr>
              <w:jc w:val="right"/>
            </w:pPr>
            <w:r>
              <w:t>6.7</w:t>
            </w:r>
          </w:p>
        </w:tc>
        <w:tc>
          <w:tcPr>
            <w:tcW w:w="3766" w:type="dxa"/>
            <w:tcBorders>
              <w:top w:val="single" w:color="000000" w:sz="4" w:space="0"/>
              <w:left w:val="single" w:color="000000" w:sz="4" w:space="0"/>
              <w:bottom w:val="single" w:color="000000" w:sz="4" w:space="0"/>
              <w:right w:val="single" w:color="000000" w:sz="4" w:space="0"/>
            </w:tcBorders>
            <w:vAlign w:val="center"/>
          </w:tcPr>
          <w:p>
            <w:pPr>
              <w:rPr>
                <w:lang w:val="sr-Latn-ME"/>
              </w:rPr>
            </w:pPr>
            <w:r>
              <w:rPr>
                <w:lang w:val="sr-Latn-ME"/>
              </w:rPr>
              <w:t>Obrazovanje, i usavršavanje zaposlenih, advokatske i neproizvodne usluge</w:t>
            </w:r>
          </w:p>
        </w:tc>
        <w:tc>
          <w:tcPr>
            <w:tcW w:w="1704" w:type="dxa"/>
            <w:tcBorders>
              <w:top w:val="single" w:color="000000" w:sz="4" w:space="0"/>
              <w:left w:val="single" w:color="000000" w:sz="4" w:space="0"/>
              <w:bottom w:val="single" w:color="000000" w:sz="4" w:space="0"/>
              <w:right w:val="single" w:color="000000" w:sz="4" w:space="0"/>
            </w:tcBorders>
            <w:vAlign w:val="center"/>
          </w:tcPr>
          <w:p>
            <w:pPr>
              <w:jc w:val="center"/>
            </w:pPr>
            <w:r>
              <w:rPr>
                <w:lang w:val="sr-Latn-ME"/>
              </w:rPr>
              <w:t>4</w:t>
            </w:r>
            <w:r>
              <w:t>.</w:t>
            </w:r>
            <w:r>
              <w:rPr>
                <w:lang w:val="sr-Latn-ME"/>
              </w:rPr>
              <w:t>818</w:t>
            </w:r>
            <w:r>
              <w:t>,</w:t>
            </w:r>
            <w:r>
              <w:rPr>
                <w:lang w:val="sr-Latn-ME"/>
              </w:rPr>
              <w:t>11</w:t>
            </w:r>
          </w:p>
        </w:tc>
        <w:tc>
          <w:tcPr>
            <w:tcW w:w="1777" w:type="dxa"/>
            <w:tcBorders>
              <w:top w:val="single" w:color="000000" w:sz="4" w:space="0"/>
              <w:left w:val="single" w:color="000000" w:sz="4" w:space="0"/>
              <w:bottom w:val="single" w:color="000000" w:sz="4" w:space="0"/>
              <w:right w:val="single" w:color="000000" w:sz="4" w:space="0"/>
            </w:tcBorders>
            <w:vAlign w:val="center"/>
          </w:tcPr>
          <w:p>
            <w:pPr>
              <w:jc w:val="center"/>
            </w:pPr>
            <w:r>
              <w:rPr>
                <w:lang w:val="sr-Latn-ME"/>
              </w:rPr>
              <w:t>6</w:t>
            </w:r>
            <w:r>
              <w:t>.</w:t>
            </w:r>
            <w:r>
              <w:rPr>
                <w:lang w:val="sr-Latn-ME"/>
              </w:rPr>
              <w:t>594</w:t>
            </w:r>
            <w:r>
              <w:t>,</w:t>
            </w:r>
            <w:r>
              <w:rPr>
                <w:lang w:val="sr-Latn-ME"/>
              </w:rPr>
              <w:t>07</w:t>
            </w:r>
          </w:p>
        </w:tc>
        <w:tc>
          <w:tcPr>
            <w:tcW w:w="1385" w:type="dxa"/>
            <w:tcBorders>
              <w:top w:val="single" w:color="000000" w:sz="4" w:space="0"/>
              <w:left w:val="single" w:color="000000" w:sz="4" w:space="0"/>
              <w:bottom w:val="single" w:color="000000" w:sz="4" w:space="0"/>
              <w:right w:val="double" w:color="000000" w:sz="4" w:space="0"/>
            </w:tcBorders>
            <w:vAlign w:val="center"/>
          </w:tcPr>
          <w:p>
            <w:pPr>
              <w:jc w:val="center"/>
              <w:rPr>
                <w:lang w:val="sr-Latn-ME"/>
              </w:rPr>
            </w:pPr>
            <w:r>
              <w:rPr>
                <w:lang w:val="sr-Latn-ME"/>
              </w:rPr>
              <w:t>137</w:t>
            </w:r>
          </w:p>
        </w:tc>
      </w:tr>
      <w:tr>
        <w:tblPrEx>
          <w:tblCellMar>
            <w:top w:w="0" w:type="dxa"/>
            <w:left w:w="108" w:type="dxa"/>
            <w:bottom w:w="0" w:type="dxa"/>
            <w:right w:w="108" w:type="dxa"/>
          </w:tblCellMar>
        </w:tblPrEx>
        <w:trPr>
          <w:jc w:val="center"/>
        </w:trPr>
        <w:tc>
          <w:tcPr>
            <w:tcW w:w="970" w:type="dxa"/>
            <w:tcBorders>
              <w:top w:val="single" w:color="000000" w:sz="4" w:space="0"/>
              <w:left w:val="double" w:color="000000" w:sz="4" w:space="0"/>
              <w:bottom w:val="single" w:color="000000" w:sz="4" w:space="0"/>
              <w:right w:val="single" w:color="000000" w:sz="4" w:space="0"/>
            </w:tcBorders>
            <w:vAlign w:val="center"/>
          </w:tcPr>
          <w:p>
            <w:pPr>
              <w:jc w:val="right"/>
            </w:pPr>
            <w:r>
              <w:t>6.8</w:t>
            </w:r>
          </w:p>
        </w:tc>
        <w:tc>
          <w:tcPr>
            <w:tcW w:w="3766" w:type="dxa"/>
            <w:tcBorders>
              <w:top w:val="single" w:color="000000" w:sz="4" w:space="0"/>
              <w:left w:val="single" w:color="000000" w:sz="4" w:space="0"/>
              <w:bottom w:val="single" w:color="000000" w:sz="4" w:space="0"/>
              <w:right w:val="single" w:color="000000" w:sz="4" w:space="0"/>
            </w:tcBorders>
            <w:vAlign w:val="center"/>
          </w:tcPr>
          <w:p>
            <w:r>
              <w:rPr>
                <w:lang w:val="sr-Latn-ME"/>
              </w:rPr>
              <w:t>Troškovi platnog prometa</w:t>
            </w:r>
          </w:p>
        </w:tc>
        <w:tc>
          <w:tcPr>
            <w:tcW w:w="1704" w:type="dxa"/>
            <w:tcBorders>
              <w:top w:val="single" w:color="000000" w:sz="4" w:space="0"/>
              <w:left w:val="single" w:color="000000" w:sz="4" w:space="0"/>
              <w:bottom w:val="single" w:color="000000" w:sz="4" w:space="0"/>
              <w:right w:val="single" w:color="000000" w:sz="4" w:space="0"/>
            </w:tcBorders>
            <w:vAlign w:val="center"/>
          </w:tcPr>
          <w:p>
            <w:pPr>
              <w:jc w:val="center"/>
            </w:pPr>
            <w:r>
              <w:rPr>
                <w:lang w:val="sr-Latn-ME"/>
              </w:rPr>
              <w:t>2</w:t>
            </w:r>
            <w:r>
              <w:t>.</w:t>
            </w:r>
            <w:r>
              <w:rPr>
                <w:lang w:val="sr-Latn-ME"/>
              </w:rPr>
              <w:t>860</w:t>
            </w:r>
            <w:r>
              <w:t>,</w:t>
            </w:r>
            <w:r>
              <w:rPr>
                <w:lang w:val="sr-Latn-ME"/>
              </w:rPr>
              <w:t>79</w:t>
            </w:r>
          </w:p>
        </w:tc>
        <w:tc>
          <w:tcPr>
            <w:tcW w:w="1777" w:type="dxa"/>
            <w:tcBorders>
              <w:top w:val="single" w:color="000000" w:sz="4" w:space="0"/>
              <w:left w:val="single" w:color="000000" w:sz="4" w:space="0"/>
              <w:bottom w:val="single" w:color="000000" w:sz="4" w:space="0"/>
              <w:right w:val="single" w:color="000000" w:sz="4" w:space="0"/>
            </w:tcBorders>
            <w:vAlign w:val="center"/>
          </w:tcPr>
          <w:p>
            <w:pPr>
              <w:jc w:val="center"/>
            </w:pPr>
            <w:r>
              <w:rPr>
                <w:lang w:val="sr-Latn-ME"/>
              </w:rPr>
              <w:t>2</w:t>
            </w:r>
            <w:r>
              <w:t>.</w:t>
            </w:r>
            <w:r>
              <w:rPr>
                <w:lang w:val="sr-Latn-ME"/>
              </w:rPr>
              <w:t>568</w:t>
            </w:r>
            <w:r>
              <w:t>,</w:t>
            </w:r>
            <w:r>
              <w:rPr>
                <w:lang w:val="sr-Latn-ME"/>
              </w:rPr>
              <w:t>61</w:t>
            </w:r>
          </w:p>
        </w:tc>
        <w:tc>
          <w:tcPr>
            <w:tcW w:w="1385" w:type="dxa"/>
            <w:tcBorders>
              <w:top w:val="single" w:color="000000" w:sz="4" w:space="0"/>
              <w:left w:val="single" w:color="000000" w:sz="4" w:space="0"/>
              <w:bottom w:val="single" w:color="000000" w:sz="4" w:space="0"/>
              <w:right w:val="double" w:color="000000" w:sz="4" w:space="0"/>
            </w:tcBorders>
            <w:vAlign w:val="center"/>
          </w:tcPr>
          <w:p>
            <w:pPr>
              <w:jc w:val="center"/>
            </w:pPr>
            <w:r>
              <w:t>90</w:t>
            </w:r>
          </w:p>
        </w:tc>
      </w:tr>
      <w:tr>
        <w:tblPrEx>
          <w:tblCellMar>
            <w:top w:w="0" w:type="dxa"/>
            <w:left w:w="108" w:type="dxa"/>
            <w:bottom w:w="0" w:type="dxa"/>
            <w:right w:w="108" w:type="dxa"/>
          </w:tblCellMar>
        </w:tblPrEx>
        <w:trPr>
          <w:jc w:val="center"/>
        </w:trPr>
        <w:tc>
          <w:tcPr>
            <w:tcW w:w="970" w:type="dxa"/>
            <w:tcBorders>
              <w:top w:val="single" w:color="000000" w:sz="4" w:space="0"/>
              <w:left w:val="double" w:color="000000" w:sz="4" w:space="0"/>
              <w:bottom w:val="single" w:color="000000" w:sz="4" w:space="0"/>
              <w:right w:val="single" w:color="000000" w:sz="4" w:space="0"/>
            </w:tcBorders>
            <w:vAlign w:val="center"/>
          </w:tcPr>
          <w:p>
            <w:pPr>
              <w:jc w:val="right"/>
            </w:pPr>
            <w:r>
              <w:t>6.9</w:t>
            </w:r>
          </w:p>
        </w:tc>
        <w:tc>
          <w:tcPr>
            <w:tcW w:w="3766" w:type="dxa"/>
            <w:tcBorders>
              <w:top w:val="single" w:color="000000" w:sz="4" w:space="0"/>
              <w:left w:val="single" w:color="000000" w:sz="4" w:space="0"/>
              <w:bottom w:val="single" w:color="000000" w:sz="4" w:space="0"/>
              <w:right w:val="single" w:color="000000" w:sz="4" w:space="0"/>
            </w:tcBorders>
            <w:vAlign w:val="center"/>
          </w:tcPr>
          <w:p>
            <w:pPr>
              <w:rPr>
                <w:lang w:val="sr-Latn-ME"/>
              </w:rPr>
            </w:pPr>
            <w:r>
              <w:rPr>
                <w:lang w:val="sr-Latn-ME"/>
              </w:rPr>
              <w:t>Troškovi poreza, doprinosa i ostali nematerijalni troškovi</w:t>
            </w:r>
          </w:p>
        </w:tc>
        <w:tc>
          <w:tcPr>
            <w:tcW w:w="1704" w:type="dxa"/>
            <w:tcBorders>
              <w:top w:val="single" w:color="000000" w:sz="4" w:space="0"/>
              <w:left w:val="single" w:color="000000" w:sz="4" w:space="0"/>
              <w:bottom w:val="single" w:color="000000" w:sz="4" w:space="0"/>
              <w:right w:val="single" w:color="000000" w:sz="4" w:space="0"/>
            </w:tcBorders>
            <w:vAlign w:val="center"/>
          </w:tcPr>
          <w:p>
            <w:pPr>
              <w:jc w:val="center"/>
            </w:pPr>
            <w:r>
              <w:rPr>
                <w:lang w:val="sr-Latn-ME"/>
              </w:rPr>
              <w:t>47</w:t>
            </w:r>
            <w:r>
              <w:t>.</w:t>
            </w:r>
            <w:r>
              <w:rPr>
                <w:lang w:val="sr-Latn-ME"/>
              </w:rPr>
              <w:t>090</w:t>
            </w:r>
            <w:r>
              <w:t>,</w:t>
            </w:r>
            <w:r>
              <w:rPr>
                <w:lang w:val="sr-Latn-ME"/>
              </w:rPr>
              <w:t>31</w:t>
            </w:r>
          </w:p>
        </w:tc>
        <w:tc>
          <w:tcPr>
            <w:tcW w:w="1777" w:type="dxa"/>
            <w:tcBorders>
              <w:top w:val="single" w:color="000000" w:sz="4" w:space="0"/>
              <w:left w:val="single" w:color="000000" w:sz="4" w:space="0"/>
              <w:bottom w:val="single" w:color="000000" w:sz="4" w:space="0"/>
              <w:right w:val="single" w:color="000000" w:sz="4" w:space="0"/>
            </w:tcBorders>
            <w:vAlign w:val="center"/>
          </w:tcPr>
          <w:p>
            <w:pPr>
              <w:jc w:val="center"/>
            </w:pPr>
            <w:r>
              <w:rPr>
                <w:lang w:val="sr-Latn-ME"/>
              </w:rPr>
              <w:t>54</w:t>
            </w:r>
            <w:r>
              <w:t>.</w:t>
            </w:r>
            <w:r>
              <w:rPr>
                <w:lang w:val="sr-Latn-ME"/>
              </w:rPr>
              <w:t>639</w:t>
            </w:r>
            <w:r>
              <w:t>,</w:t>
            </w:r>
            <w:r>
              <w:rPr>
                <w:lang w:val="sr-Latn-ME"/>
              </w:rPr>
              <w:t>40</w:t>
            </w:r>
          </w:p>
        </w:tc>
        <w:tc>
          <w:tcPr>
            <w:tcW w:w="1385" w:type="dxa"/>
            <w:tcBorders>
              <w:top w:val="single" w:color="000000" w:sz="4" w:space="0"/>
              <w:left w:val="single" w:color="000000" w:sz="4" w:space="0"/>
              <w:bottom w:val="single" w:color="000000" w:sz="4" w:space="0"/>
              <w:right w:val="double" w:color="000000" w:sz="4" w:space="0"/>
            </w:tcBorders>
            <w:vAlign w:val="center"/>
          </w:tcPr>
          <w:p>
            <w:pPr>
              <w:jc w:val="center"/>
              <w:rPr>
                <w:lang w:val="sr-Latn-ME"/>
              </w:rPr>
            </w:pPr>
            <w:r>
              <w:rPr>
                <w:lang w:val="sr-Latn-ME"/>
              </w:rPr>
              <w:t>116</w:t>
            </w:r>
          </w:p>
        </w:tc>
      </w:tr>
      <w:tr>
        <w:tblPrEx>
          <w:tblCellMar>
            <w:top w:w="0" w:type="dxa"/>
            <w:left w:w="108" w:type="dxa"/>
            <w:bottom w:w="0" w:type="dxa"/>
            <w:right w:w="108" w:type="dxa"/>
          </w:tblCellMar>
        </w:tblPrEx>
        <w:trPr>
          <w:jc w:val="center"/>
        </w:trPr>
        <w:tc>
          <w:tcPr>
            <w:tcW w:w="970" w:type="dxa"/>
            <w:tcBorders>
              <w:top w:val="single" w:color="000000" w:sz="4" w:space="0"/>
              <w:left w:val="double" w:color="000000" w:sz="4" w:space="0"/>
              <w:bottom w:val="single" w:color="000000" w:sz="4" w:space="0"/>
              <w:right w:val="single" w:color="000000" w:sz="4" w:space="0"/>
            </w:tcBorders>
            <w:vAlign w:val="center"/>
          </w:tcPr>
          <w:p>
            <w:pPr>
              <w:jc w:val="right"/>
            </w:pPr>
            <w:r>
              <w:t>6.10</w:t>
            </w:r>
          </w:p>
        </w:tc>
        <w:tc>
          <w:tcPr>
            <w:tcW w:w="3766" w:type="dxa"/>
            <w:tcBorders>
              <w:top w:val="single" w:color="000000" w:sz="4" w:space="0"/>
              <w:left w:val="single" w:color="000000" w:sz="4" w:space="0"/>
              <w:bottom w:val="single" w:color="000000" w:sz="4" w:space="0"/>
              <w:right w:val="single" w:color="000000" w:sz="4" w:space="0"/>
            </w:tcBorders>
            <w:vAlign w:val="center"/>
          </w:tcPr>
          <w:p>
            <w:pPr>
              <w:rPr>
                <w:lang w:val="sr-Latn-ME"/>
              </w:rPr>
            </w:pPr>
            <w:r>
              <w:rPr>
                <w:lang w:val="sr-Latn-ME"/>
              </w:rPr>
              <w:t>Rashodi iz ranijih godina i ostali poslovni rashodi ( voda, komunalne usluge, htz oprema, sanitarni pregledi, uniforme i druge usluge )</w:t>
            </w:r>
          </w:p>
        </w:tc>
        <w:tc>
          <w:tcPr>
            <w:tcW w:w="1704" w:type="dxa"/>
            <w:tcBorders>
              <w:top w:val="single" w:color="000000" w:sz="4" w:space="0"/>
              <w:left w:val="single" w:color="000000" w:sz="4" w:space="0"/>
              <w:bottom w:val="single" w:color="000000" w:sz="4" w:space="0"/>
              <w:right w:val="single" w:color="000000" w:sz="4" w:space="0"/>
            </w:tcBorders>
            <w:vAlign w:val="center"/>
          </w:tcPr>
          <w:p>
            <w:pPr>
              <w:jc w:val="center"/>
            </w:pPr>
            <w:r>
              <w:rPr>
                <w:lang w:val="sr-Latn-ME"/>
              </w:rPr>
              <w:t>43</w:t>
            </w:r>
            <w:r>
              <w:t>.</w:t>
            </w:r>
            <w:r>
              <w:rPr>
                <w:lang w:val="sr-Latn-ME"/>
              </w:rPr>
              <w:t>105</w:t>
            </w:r>
            <w:r>
              <w:t>,</w:t>
            </w:r>
            <w:r>
              <w:rPr>
                <w:lang w:val="sr-Latn-ME"/>
              </w:rPr>
              <w:t>62</w:t>
            </w:r>
          </w:p>
        </w:tc>
        <w:tc>
          <w:tcPr>
            <w:tcW w:w="1777" w:type="dxa"/>
            <w:tcBorders>
              <w:top w:val="single" w:color="000000" w:sz="4" w:space="0"/>
              <w:left w:val="single" w:color="000000" w:sz="4" w:space="0"/>
              <w:bottom w:val="single" w:color="000000" w:sz="4" w:space="0"/>
              <w:right w:val="single" w:color="000000" w:sz="4" w:space="0"/>
            </w:tcBorders>
            <w:vAlign w:val="center"/>
          </w:tcPr>
          <w:p>
            <w:pPr>
              <w:jc w:val="center"/>
            </w:pPr>
            <w:r>
              <w:rPr>
                <w:lang w:val="sr-Latn-ME"/>
              </w:rPr>
              <w:t>36</w:t>
            </w:r>
            <w:r>
              <w:t>.</w:t>
            </w:r>
            <w:r>
              <w:rPr>
                <w:lang w:val="sr-Latn-ME"/>
              </w:rPr>
              <w:t>587</w:t>
            </w:r>
            <w:r>
              <w:t>,</w:t>
            </w:r>
            <w:r>
              <w:rPr>
                <w:lang w:val="sr-Latn-ME"/>
              </w:rPr>
              <w:t>14</w:t>
            </w:r>
          </w:p>
        </w:tc>
        <w:tc>
          <w:tcPr>
            <w:tcW w:w="1385" w:type="dxa"/>
            <w:tcBorders>
              <w:top w:val="single" w:color="000000" w:sz="4" w:space="0"/>
              <w:left w:val="single" w:color="000000" w:sz="4" w:space="0"/>
              <w:bottom w:val="single" w:color="000000" w:sz="4" w:space="0"/>
              <w:right w:val="double" w:color="000000" w:sz="4" w:space="0"/>
            </w:tcBorders>
            <w:vAlign w:val="center"/>
          </w:tcPr>
          <w:p>
            <w:pPr>
              <w:jc w:val="center"/>
            </w:pPr>
            <w:r>
              <w:t>85</w:t>
            </w:r>
          </w:p>
        </w:tc>
      </w:tr>
      <w:tr>
        <w:tblPrEx>
          <w:tblCellMar>
            <w:top w:w="0" w:type="dxa"/>
            <w:left w:w="108" w:type="dxa"/>
            <w:bottom w:w="0" w:type="dxa"/>
            <w:right w:w="108" w:type="dxa"/>
          </w:tblCellMar>
        </w:tblPrEx>
        <w:trPr>
          <w:jc w:val="center"/>
        </w:trPr>
        <w:tc>
          <w:tcPr>
            <w:tcW w:w="970" w:type="dxa"/>
            <w:tcBorders>
              <w:top w:val="single" w:color="000000" w:sz="4" w:space="0"/>
              <w:left w:val="double" w:color="000000" w:sz="4" w:space="0"/>
              <w:bottom w:val="double" w:color="000000" w:sz="4" w:space="0"/>
              <w:right w:val="single" w:color="000000" w:sz="4" w:space="0"/>
            </w:tcBorders>
            <w:vAlign w:val="center"/>
          </w:tcPr>
          <w:p>
            <w:pPr>
              <w:rPr>
                <w:b/>
                <w:bCs/>
              </w:rPr>
            </w:pPr>
            <w:r>
              <w:rPr>
                <w:b/>
                <w:bCs/>
              </w:rPr>
              <w:t>7.</w:t>
            </w:r>
          </w:p>
        </w:tc>
        <w:tc>
          <w:tcPr>
            <w:tcW w:w="3766" w:type="dxa"/>
            <w:tcBorders>
              <w:top w:val="single" w:color="000000" w:sz="4" w:space="0"/>
              <w:left w:val="single" w:color="000000" w:sz="4" w:space="0"/>
              <w:bottom w:val="double" w:color="000000" w:sz="4" w:space="0"/>
              <w:right w:val="single" w:color="000000" w:sz="4" w:space="0"/>
            </w:tcBorders>
            <w:vAlign w:val="center"/>
          </w:tcPr>
          <w:p>
            <w:pPr>
              <w:rPr>
                <w:b/>
                <w:bCs/>
                <w:lang w:val="sr-Latn-ME"/>
              </w:rPr>
            </w:pPr>
            <w:r>
              <w:rPr>
                <w:b/>
                <w:bCs/>
                <w:lang w:val="sr-Latn-ME"/>
              </w:rPr>
              <w:t>Neto finansijski trošak</w:t>
            </w:r>
          </w:p>
        </w:tc>
        <w:tc>
          <w:tcPr>
            <w:tcW w:w="1704" w:type="dxa"/>
            <w:tcBorders>
              <w:top w:val="single" w:color="000000" w:sz="4" w:space="0"/>
              <w:left w:val="single" w:color="000000" w:sz="4" w:space="0"/>
              <w:bottom w:val="double" w:color="000000" w:sz="4" w:space="0"/>
              <w:right w:val="single" w:color="000000" w:sz="4" w:space="0"/>
            </w:tcBorders>
            <w:vAlign w:val="center"/>
          </w:tcPr>
          <w:p>
            <w:pPr>
              <w:jc w:val="center"/>
            </w:pPr>
            <w:r>
              <w:rPr>
                <w:lang w:val="sr-Latn-ME"/>
              </w:rPr>
              <w:t>48</w:t>
            </w:r>
            <w:r>
              <w:t>,</w:t>
            </w:r>
            <w:r>
              <w:rPr>
                <w:lang w:val="sr-Latn-ME"/>
              </w:rPr>
              <w:t>6</w:t>
            </w:r>
            <w:r>
              <w:t>0</w:t>
            </w:r>
          </w:p>
        </w:tc>
        <w:tc>
          <w:tcPr>
            <w:tcW w:w="1777" w:type="dxa"/>
            <w:tcBorders>
              <w:top w:val="single" w:color="000000" w:sz="4" w:space="0"/>
              <w:left w:val="single" w:color="000000" w:sz="4" w:space="0"/>
              <w:bottom w:val="double" w:color="000000" w:sz="4" w:space="0"/>
              <w:right w:val="single" w:color="000000" w:sz="4" w:space="0"/>
            </w:tcBorders>
            <w:vAlign w:val="center"/>
          </w:tcPr>
          <w:p>
            <w:pPr>
              <w:jc w:val="center"/>
            </w:pPr>
            <w:r>
              <w:rPr>
                <w:lang w:val="sr-Latn-ME"/>
              </w:rPr>
              <w:t>267</w:t>
            </w:r>
            <w:r>
              <w:t>,</w:t>
            </w:r>
            <w:r>
              <w:rPr>
                <w:lang w:val="sr-Latn-ME"/>
              </w:rPr>
              <w:t>14</w:t>
            </w:r>
          </w:p>
        </w:tc>
        <w:tc>
          <w:tcPr>
            <w:tcW w:w="1385" w:type="dxa"/>
            <w:tcBorders>
              <w:top w:val="single" w:color="000000" w:sz="4" w:space="0"/>
              <w:left w:val="single" w:color="000000" w:sz="4" w:space="0"/>
              <w:bottom w:val="double" w:color="000000" w:sz="4" w:space="0"/>
              <w:right w:val="double" w:color="000000" w:sz="4" w:space="0"/>
            </w:tcBorders>
            <w:vAlign w:val="center"/>
          </w:tcPr>
          <w:p>
            <w:pPr>
              <w:jc w:val="center"/>
              <w:rPr>
                <w:lang w:val="sr-Latn-ME"/>
              </w:rPr>
            </w:pPr>
            <w:r>
              <w:rPr>
                <w:lang w:val="sr-Latn-ME"/>
              </w:rPr>
              <w:t>550</w:t>
            </w:r>
          </w:p>
        </w:tc>
      </w:tr>
      <w:tr>
        <w:tblPrEx>
          <w:tblCellMar>
            <w:top w:w="0" w:type="dxa"/>
            <w:left w:w="108" w:type="dxa"/>
            <w:bottom w:w="0" w:type="dxa"/>
            <w:right w:w="108" w:type="dxa"/>
          </w:tblCellMar>
        </w:tblPrEx>
        <w:trPr>
          <w:jc w:val="center"/>
        </w:trPr>
        <w:tc>
          <w:tcPr>
            <w:tcW w:w="4736" w:type="dxa"/>
            <w:gridSpan w:val="2"/>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rPr>
                <w:b/>
                <w:lang w:val="sr-Latn-ME"/>
              </w:rPr>
            </w:pPr>
            <w:r>
              <w:rPr>
                <w:b/>
                <w:lang w:val="sr-Latn-ME"/>
              </w:rPr>
              <w:t>UKUPNI RASHODI</w:t>
            </w:r>
          </w:p>
        </w:tc>
        <w:tc>
          <w:tcPr>
            <w:tcW w:w="1704"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rPr>
                <w:b/>
              </w:rPr>
            </w:pPr>
            <w:r>
              <w:rPr>
                <w:b/>
              </w:rPr>
              <w:t>1.170.150,88</w:t>
            </w:r>
          </w:p>
        </w:tc>
        <w:tc>
          <w:tcPr>
            <w:tcW w:w="1777"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pPr>
            <w:r>
              <w:rPr>
                <w:b/>
              </w:rPr>
              <w:t>1.1</w:t>
            </w:r>
            <w:r>
              <w:rPr>
                <w:b/>
                <w:lang w:val="sr-Latn-ME"/>
              </w:rPr>
              <w:t>82</w:t>
            </w:r>
            <w:r>
              <w:rPr>
                <w:b/>
              </w:rPr>
              <w:t>.</w:t>
            </w:r>
            <w:r>
              <w:rPr>
                <w:b/>
                <w:lang w:val="sr-Latn-ME"/>
              </w:rPr>
              <w:t>704</w:t>
            </w:r>
            <w:r>
              <w:rPr>
                <w:b/>
              </w:rPr>
              <w:t>,</w:t>
            </w:r>
            <w:r>
              <w:rPr>
                <w:b/>
                <w:lang w:val="sr-Latn-ME"/>
              </w:rPr>
              <w:t>33</w:t>
            </w:r>
          </w:p>
        </w:tc>
        <w:tc>
          <w:tcPr>
            <w:tcW w:w="1385"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pPr>
            <w:r>
              <w:rPr>
                <w:b/>
              </w:rPr>
              <w:t>10</w:t>
            </w:r>
            <w:r>
              <w:rPr>
                <w:b/>
                <w:lang w:val="sr-Latn-ME"/>
              </w:rPr>
              <w:t>1</w:t>
            </w:r>
          </w:p>
        </w:tc>
      </w:tr>
    </w:tbl>
    <w:p>
      <w:pPr>
        <w:rPr>
          <w:vanish/>
        </w:rPr>
      </w:pPr>
    </w:p>
    <w:tbl>
      <w:tblPr>
        <w:tblStyle w:val="7"/>
        <w:tblpPr w:leftFromText="180" w:rightFromText="180" w:vertAnchor="text" w:horzAnchor="margin" w:tblpXSpec="center" w:tblpY="284"/>
        <w:tblW w:w="9781" w:type="dxa"/>
        <w:jc w:val="center"/>
        <w:tblLayout w:type="fixed"/>
        <w:tblCellMar>
          <w:top w:w="0" w:type="dxa"/>
          <w:left w:w="108" w:type="dxa"/>
          <w:bottom w:w="0" w:type="dxa"/>
          <w:right w:w="108" w:type="dxa"/>
        </w:tblCellMar>
      </w:tblPr>
      <w:tblGrid>
        <w:gridCol w:w="3143"/>
        <w:gridCol w:w="3422"/>
        <w:gridCol w:w="3216"/>
      </w:tblGrid>
      <w:tr>
        <w:tblPrEx>
          <w:tblCellMar>
            <w:top w:w="0" w:type="dxa"/>
            <w:left w:w="108" w:type="dxa"/>
            <w:bottom w:w="0" w:type="dxa"/>
            <w:right w:w="108" w:type="dxa"/>
          </w:tblCellMar>
        </w:tblPrEx>
        <w:trPr>
          <w:trHeight w:val="439" w:hRule="atLeast"/>
          <w:jc w:val="center"/>
        </w:trPr>
        <w:tc>
          <w:tcPr>
            <w:tcW w:w="3143" w:type="dxa"/>
            <w:tcBorders>
              <w:top w:val="double" w:color="000000" w:sz="4" w:space="0"/>
              <w:left w:val="double" w:color="000000" w:sz="4" w:space="0"/>
              <w:bottom w:val="double" w:color="000000" w:sz="4" w:space="0"/>
              <w:right w:val="double" w:color="000000" w:sz="4" w:space="0"/>
            </w:tcBorders>
            <w:shd w:val="clear" w:color="auto" w:fill="F2DCDC"/>
          </w:tcPr>
          <w:p>
            <w:pPr>
              <w:jc w:val="center"/>
              <w:rPr>
                <w:b/>
                <w:lang w:val="sr-Latn-ME"/>
              </w:rPr>
            </w:pPr>
            <w:r>
              <w:rPr>
                <w:b/>
                <w:lang w:val="sr-Latn-ME"/>
              </w:rPr>
              <w:t>REZULTAT</w:t>
            </w:r>
          </w:p>
        </w:tc>
        <w:tc>
          <w:tcPr>
            <w:tcW w:w="3422" w:type="dxa"/>
            <w:tcBorders>
              <w:top w:val="double" w:color="000000" w:sz="4" w:space="0"/>
              <w:left w:val="double" w:color="000000" w:sz="4" w:space="0"/>
              <w:bottom w:val="double" w:color="000000" w:sz="4" w:space="0"/>
              <w:right w:val="double" w:color="000000" w:sz="4" w:space="0"/>
            </w:tcBorders>
            <w:shd w:val="clear" w:color="auto" w:fill="F2DCDC"/>
          </w:tcPr>
          <w:p>
            <w:pPr>
              <w:jc w:val="center"/>
              <w:rPr>
                <w:b/>
              </w:rPr>
            </w:pPr>
            <w:r>
              <w:rPr>
                <w:b/>
              </w:rPr>
              <w:t>2022</w:t>
            </w:r>
          </w:p>
        </w:tc>
        <w:tc>
          <w:tcPr>
            <w:tcW w:w="3216" w:type="dxa"/>
            <w:tcBorders>
              <w:top w:val="double" w:color="000000" w:sz="4" w:space="0"/>
              <w:left w:val="double" w:color="000000" w:sz="4" w:space="0"/>
              <w:bottom w:val="double" w:color="000000" w:sz="4" w:space="0"/>
              <w:right w:val="double" w:color="000000" w:sz="4" w:space="0"/>
            </w:tcBorders>
            <w:shd w:val="clear" w:color="auto" w:fill="F2DCDC"/>
          </w:tcPr>
          <w:p>
            <w:pPr>
              <w:jc w:val="center"/>
            </w:pPr>
            <w:r>
              <w:rPr>
                <w:b/>
              </w:rPr>
              <w:t>202</w:t>
            </w:r>
            <w:r>
              <w:rPr>
                <w:b/>
                <w:lang w:val="sr-Latn-ME"/>
              </w:rPr>
              <w:t>3</w:t>
            </w:r>
          </w:p>
        </w:tc>
      </w:tr>
      <w:tr>
        <w:tblPrEx>
          <w:tblCellMar>
            <w:top w:w="0" w:type="dxa"/>
            <w:left w:w="108" w:type="dxa"/>
            <w:bottom w:w="0" w:type="dxa"/>
            <w:right w:w="108" w:type="dxa"/>
          </w:tblCellMar>
        </w:tblPrEx>
        <w:trPr>
          <w:trHeight w:val="467" w:hRule="atLeast"/>
          <w:jc w:val="center"/>
        </w:trPr>
        <w:tc>
          <w:tcPr>
            <w:tcW w:w="3143" w:type="dxa"/>
            <w:tcBorders>
              <w:top w:val="double" w:color="000000" w:sz="4" w:space="0"/>
              <w:left w:val="double" w:color="000000" w:sz="4" w:space="0"/>
              <w:bottom w:val="double" w:color="000000" w:sz="4" w:space="0"/>
              <w:right w:val="double" w:color="000000" w:sz="4" w:space="0"/>
            </w:tcBorders>
          </w:tcPr>
          <w:p>
            <w:pPr>
              <w:jc w:val="center"/>
              <w:rPr>
                <w:b/>
                <w:lang w:val="sr-Latn-ME"/>
              </w:rPr>
            </w:pPr>
            <w:r>
              <w:rPr>
                <w:b/>
                <w:lang w:val="sr-Latn-ME"/>
              </w:rPr>
              <w:t>DOBITAK</w:t>
            </w:r>
          </w:p>
        </w:tc>
        <w:tc>
          <w:tcPr>
            <w:tcW w:w="3422" w:type="dxa"/>
            <w:tcBorders>
              <w:top w:val="double" w:color="000000" w:sz="4" w:space="0"/>
              <w:left w:val="double" w:color="000000" w:sz="4" w:space="0"/>
              <w:bottom w:val="double" w:color="000000" w:sz="4" w:space="0"/>
              <w:right w:val="double" w:color="000000" w:sz="4" w:space="0"/>
            </w:tcBorders>
          </w:tcPr>
          <w:p>
            <w:pPr>
              <w:jc w:val="center"/>
            </w:pPr>
            <w:r>
              <w:t>29.789,09</w:t>
            </w:r>
          </w:p>
        </w:tc>
        <w:tc>
          <w:tcPr>
            <w:tcW w:w="3216" w:type="dxa"/>
            <w:tcBorders>
              <w:top w:val="double" w:color="000000" w:sz="4" w:space="0"/>
              <w:left w:val="double" w:color="000000" w:sz="4" w:space="0"/>
              <w:bottom w:val="double" w:color="000000" w:sz="4" w:space="0"/>
              <w:right w:val="double" w:color="000000" w:sz="4" w:space="0"/>
            </w:tcBorders>
          </w:tcPr>
          <w:p>
            <w:pPr>
              <w:jc w:val="center"/>
            </w:pPr>
          </w:p>
        </w:tc>
      </w:tr>
      <w:tr>
        <w:tblPrEx>
          <w:tblCellMar>
            <w:top w:w="0" w:type="dxa"/>
            <w:left w:w="108" w:type="dxa"/>
            <w:bottom w:w="0" w:type="dxa"/>
            <w:right w:w="108" w:type="dxa"/>
          </w:tblCellMar>
        </w:tblPrEx>
        <w:trPr>
          <w:trHeight w:val="467" w:hRule="atLeast"/>
          <w:jc w:val="center"/>
        </w:trPr>
        <w:tc>
          <w:tcPr>
            <w:tcW w:w="3143" w:type="dxa"/>
            <w:tcBorders>
              <w:top w:val="double" w:color="000000" w:sz="4" w:space="0"/>
              <w:left w:val="double" w:color="000000" w:sz="4" w:space="0"/>
              <w:bottom w:val="double" w:color="000000" w:sz="4" w:space="0"/>
              <w:right w:val="double" w:color="000000" w:sz="4" w:space="0"/>
            </w:tcBorders>
          </w:tcPr>
          <w:p>
            <w:pPr>
              <w:jc w:val="center"/>
              <w:rPr>
                <w:b/>
                <w:lang w:val="sr-Latn-ME"/>
              </w:rPr>
            </w:pPr>
            <w:r>
              <w:rPr>
                <w:b/>
                <w:lang w:val="sr-Latn-ME"/>
              </w:rPr>
              <w:t>GUBITAK</w:t>
            </w:r>
          </w:p>
        </w:tc>
        <w:tc>
          <w:tcPr>
            <w:tcW w:w="3422" w:type="dxa"/>
            <w:tcBorders>
              <w:top w:val="double" w:color="000000" w:sz="4" w:space="0"/>
              <w:left w:val="double" w:color="000000" w:sz="4" w:space="0"/>
              <w:bottom w:val="double" w:color="000000" w:sz="4" w:space="0"/>
              <w:right w:val="double" w:color="000000" w:sz="4" w:space="0"/>
            </w:tcBorders>
          </w:tcPr>
          <w:p>
            <w:pPr>
              <w:jc w:val="center"/>
            </w:pPr>
          </w:p>
        </w:tc>
        <w:tc>
          <w:tcPr>
            <w:tcW w:w="3216" w:type="dxa"/>
            <w:tcBorders>
              <w:top w:val="double" w:color="000000" w:sz="4" w:space="0"/>
              <w:left w:val="double" w:color="000000" w:sz="4" w:space="0"/>
              <w:bottom w:val="double" w:color="000000" w:sz="4" w:space="0"/>
              <w:right w:val="double" w:color="000000" w:sz="4" w:space="0"/>
            </w:tcBorders>
          </w:tcPr>
          <w:p>
            <w:pPr>
              <w:jc w:val="center"/>
            </w:pPr>
            <w:r>
              <w:t>27.274,80</w:t>
            </w:r>
          </w:p>
        </w:tc>
      </w:tr>
    </w:tbl>
    <w:p>
      <w:pPr>
        <w:spacing w:line="120" w:lineRule="auto"/>
        <w:ind w:firstLine="720"/>
        <w:jc w:val="both"/>
        <w:rPr>
          <w:sz w:val="26"/>
          <w:szCs w:val="26"/>
        </w:rPr>
      </w:pPr>
    </w:p>
    <w:p>
      <w:pPr>
        <w:ind w:firstLine="850"/>
        <w:jc w:val="both"/>
        <w:rPr>
          <w:sz w:val="26"/>
          <w:szCs w:val="26"/>
        </w:rPr>
      </w:pPr>
    </w:p>
    <w:p>
      <w:pPr>
        <w:ind w:firstLine="850"/>
        <w:jc w:val="both"/>
        <w:rPr>
          <w:sz w:val="26"/>
          <w:szCs w:val="26"/>
        </w:rPr>
      </w:pPr>
    </w:p>
    <w:p>
      <w:pPr>
        <w:ind w:firstLine="850"/>
        <w:jc w:val="both"/>
        <w:rPr>
          <w:sz w:val="24"/>
          <w:szCs w:val="24"/>
          <w:lang w:val="sr-Latn-ME"/>
        </w:rPr>
      </w:pPr>
      <w:r>
        <w:rPr>
          <w:sz w:val="24"/>
          <w:szCs w:val="24"/>
          <w:lang w:val="sr-Latn-ME"/>
        </w:rPr>
        <w:t>U poslovnoj 2023. godini preduzeće je ostvarilo negativan finansijski rezultat uz iskazani gubitak u iznosu od 27.274,80 €. Prihodi su za 4% manji u odnosu na prošlogodišnje, a rashodi su veći za 1% u odnosu na prethodnu godinu. Prihodi od obavljanja osnovne djelatnosti su veći za 7% a transfer Opštine koji se odnosi na obavljanje javne funkcije preduzeća je manji za 9%.</w:t>
      </w:r>
    </w:p>
    <w:p>
      <w:pPr>
        <w:ind w:firstLine="850"/>
        <w:jc w:val="both"/>
        <w:rPr>
          <w:sz w:val="24"/>
          <w:szCs w:val="24"/>
          <w:lang w:val="sr-Latn-ME"/>
        </w:rPr>
      </w:pPr>
      <w:r>
        <w:rPr>
          <w:sz w:val="24"/>
          <w:szCs w:val="24"/>
          <w:lang w:val="sr-Latn-ME"/>
        </w:rPr>
        <w:t xml:space="preserve">Najznačajniji razlozi ostvarenja negativnog rezultata u poslovanju u odnosu na prethodnu poslovnu godinu je značajnije smanjenje prihoda po osnovu redovnog finansiranja od strane Opštine kao i kasnije puštanje u rad bazena, koje je bilo uslovljeno probijanjem rokova za završetak sanacijskih radova. Troškovi zaposlenih su veći u odnosu na prethodnu godinu za 5%. Troškovi bruto zarada sa doprinosima na teret poslodavca i druga lična primanja iznose 774.264,45 €. </w:t>
      </w:r>
    </w:p>
    <w:p>
      <w:pPr>
        <w:ind w:firstLine="850"/>
        <w:jc w:val="both"/>
        <w:rPr>
          <w:sz w:val="24"/>
          <w:szCs w:val="24"/>
          <w:lang w:val="sr-Latn-ME"/>
        </w:rPr>
      </w:pPr>
      <w:r>
        <w:rPr>
          <w:sz w:val="24"/>
          <w:szCs w:val="24"/>
          <w:lang w:val="sr-Latn-ME"/>
        </w:rPr>
        <w:t xml:space="preserve">U periodu od 01.01. do 31.12.2023. godine Opština Nikšić je izmirila preuzeti dug po osnovu poreza i doprinosa zaposlenih u J.P. „Sportski centar Nikšić“ ( ugovor o regulisanju međusobnih prava i obaveza po osnovu reprograma poreza i doprinosa - br. Ug.: 02-031-1257 ), u iznosu od 57.911,40 €. Realizovane usluge, pružene Opštini iznose 235.798,62 € ( ugostiteljske usluge, poslovni prostori i zakupi sportskih sadržaja ). </w:t>
      </w:r>
    </w:p>
    <w:p>
      <w:pPr>
        <w:ind w:firstLine="850"/>
        <w:jc w:val="both"/>
        <w:rPr>
          <w:sz w:val="24"/>
          <w:szCs w:val="24"/>
          <w:lang w:val="sr-Latn-ME"/>
        </w:rPr>
      </w:pPr>
      <w:r>
        <w:rPr>
          <w:sz w:val="24"/>
          <w:szCs w:val="24"/>
          <w:lang w:val="sr-Latn-ME"/>
        </w:rPr>
        <w:t>Prihodi od pružanja usluga osnovne djelatnosti, sportski sa pratećim sadržajima, su veći za 7%. Sportska dvorana je ostvarila prihode koji su za 25 % veći u odnosu na prošlogodišnje, bazen je ostvario prihod manji za 12 %, teretana za 31 % manje, fudbalski za 32 % veći a teniski tereni su ostvarili prihode veće za 199 %. Ostvareni prihodi reklamnih prostora su manji za 24 %, dok su prihodi od poslovnih prostora manji za 6 %. U ugostiteljskoj djelatnosti prihod je manji za 33 %.</w:t>
      </w:r>
    </w:p>
    <w:p>
      <w:pPr>
        <w:ind w:firstLine="850"/>
        <w:jc w:val="both"/>
        <w:rPr>
          <w:sz w:val="24"/>
          <w:szCs w:val="24"/>
          <w:lang w:val="sr-Latn-ME"/>
        </w:rPr>
      </w:pPr>
      <w:r>
        <w:rPr>
          <w:sz w:val="24"/>
          <w:szCs w:val="24"/>
          <w:lang w:val="sr-Latn-ME"/>
        </w:rPr>
        <w:t>Rashodi su veći za 1 % u odnosu na prošlogodišnje. Navedeno povećanje rashoda najvećim dijelom odnosi se na troškove zarada i naknada zarada, kao i usljed inflacije povećanim rashodima po osnovu ostalih poslovnih terećenja.</w:t>
      </w:r>
    </w:p>
    <w:p>
      <w:pPr>
        <w:ind w:firstLine="850"/>
        <w:jc w:val="both"/>
        <w:rPr>
          <w:sz w:val="24"/>
          <w:szCs w:val="24"/>
          <w:lang w:val="sr-Latn-ME"/>
        </w:rPr>
      </w:pPr>
      <w:r>
        <w:rPr>
          <w:sz w:val="24"/>
          <w:szCs w:val="24"/>
          <w:lang w:val="sr-Latn-ME"/>
        </w:rPr>
        <w:t xml:space="preserve">Tokom 2023 godine, pokušao se nadomjestiti loš rezultat perioda, velikim trudom radno angažovanih, ka što većem ostvarenju prihoda, ali i održavanjem troškova poslovanja na optimalnom nivou. </w:t>
      </w:r>
    </w:p>
    <w:p>
      <w:pPr>
        <w:pStyle w:val="2"/>
        <w:jc w:val="center"/>
        <w:rPr>
          <w:rFonts w:hint="eastAsia" w:ascii="Lucida Sans Unicode" w:hAnsi="Lucida Sans Unicode" w:cs="Lucida Sans Unicode"/>
        </w:rPr>
      </w:pPr>
      <w:bookmarkStart w:id="4" w:name="__RefHeading___Toc2264_3382316548"/>
      <w:bookmarkEnd w:id="4"/>
      <w:bookmarkStart w:id="5" w:name="_Toc160109705"/>
      <w:r>
        <w:rPr>
          <w:rFonts w:ascii="Lucida Sans Unicode" w:hAnsi="Lucida Sans Unicode" w:cs="Lucida Sans Unicode"/>
        </w:rPr>
        <w:t xml:space="preserve">2. </w:t>
      </w:r>
      <w:r>
        <w:rPr>
          <w:rFonts w:ascii="Lucida Sans Unicode" w:hAnsi="Lucida Sans Unicode" w:cs="Lucida Sans Unicode"/>
          <w:lang w:val="sr-Latn-ME"/>
        </w:rPr>
        <w:t>AKTIVNOSTI I OSTVARENI REZULTATI U OSNOVNOJ DJELATNOSTI SA PRATEĆIM SADRŽAJIMA</w:t>
      </w:r>
      <w:bookmarkEnd w:id="5"/>
      <w:r>
        <w:rPr>
          <w:rFonts w:ascii="Lucida Sans Unicode" w:hAnsi="Lucida Sans Unicode" w:cs="Lucida Sans Unicode"/>
          <w:lang w:val="sr-Latn-ME"/>
        </w:rPr>
        <w:t xml:space="preserve"> </w:t>
      </w:r>
    </w:p>
    <w:p>
      <w:pPr>
        <w:ind w:firstLine="720"/>
        <w:rPr>
          <w:sz w:val="26"/>
          <w:szCs w:val="26"/>
        </w:rPr>
      </w:pPr>
    </w:p>
    <w:p>
      <w:pPr>
        <w:ind w:firstLine="850"/>
        <w:jc w:val="both"/>
        <w:rPr>
          <w:sz w:val="24"/>
          <w:szCs w:val="24"/>
          <w:lang w:val="sr-Latn-ME"/>
        </w:rPr>
      </w:pPr>
      <w:r>
        <w:rPr>
          <w:sz w:val="24"/>
          <w:szCs w:val="24"/>
          <w:lang w:val="sr-Latn-ME"/>
        </w:rPr>
        <w:t xml:space="preserve">Najveći iznos prihoda Sportskog centra odnosi se na usluge izdavanja sportskih sadržaja ( sportske dvorane, bazena, teretane, itd. ). </w:t>
      </w:r>
    </w:p>
    <w:p>
      <w:pPr>
        <w:ind w:firstLine="850"/>
        <w:jc w:val="both"/>
        <w:rPr>
          <w:sz w:val="24"/>
          <w:szCs w:val="24"/>
          <w:lang w:val="sr-Latn-ME"/>
        </w:rPr>
      </w:pPr>
      <w:r>
        <w:rPr>
          <w:sz w:val="24"/>
          <w:szCs w:val="24"/>
          <w:lang w:val="sr-Latn-ME"/>
        </w:rPr>
        <w:t>Višenamjenska sportska dvorana J.P. "Sportski centar Nikšić " središte je Nikšićkog sporta, mjesto gdje se piše nova sportska istorija našeg grada. Dvorana je arena u okviru koje se mogu odigravati košarkaške, rukometne, fudbalske utakmice, te organizovati razni sportski turniri, prvenstva i niz zabavno-kulturnih manifestacija.</w:t>
      </w:r>
    </w:p>
    <w:p>
      <w:pPr>
        <w:ind w:firstLine="850"/>
        <w:jc w:val="both"/>
        <w:rPr>
          <w:sz w:val="24"/>
          <w:szCs w:val="24"/>
          <w:lang w:val="sr-Latn-ME"/>
        </w:rPr>
      </w:pPr>
      <w:r>
        <w:rPr>
          <w:sz w:val="24"/>
          <w:szCs w:val="24"/>
          <w:lang w:val="sr-Latn-ME"/>
        </w:rPr>
        <w:t>Unutar objekta se nalaze pomoćna dvorana, teretana i streljana u kojima se odvija trenažna aktivnost za niz sportova ( košarka, odbojka, mali fudbal, streljaštvo, rukomet, ... ).</w:t>
      </w:r>
    </w:p>
    <w:p>
      <w:pPr>
        <w:ind w:firstLine="850"/>
        <w:jc w:val="both"/>
        <w:rPr>
          <w:sz w:val="24"/>
          <w:szCs w:val="24"/>
          <w:lang w:val="sr-Latn-ME"/>
        </w:rPr>
      </w:pPr>
      <w:r>
        <w:rPr>
          <w:sz w:val="24"/>
          <w:szCs w:val="24"/>
          <w:lang w:val="sr-Latn-ME"/>
        </w:rPr>
        <w:t>Sastavni dio kompleksa sportskih objekata J.P. „Sportski centar Nikšić“ su i bazen, kao i otvoreni tereni ( fudbalski i teniski ).</w:t>
      </w:r>
    </w:p>
    <w:p>
      <w:pPr>
        <w:ind w:firstLine="850"/>
        <w:jc w:val="both"/>
        <w:rPr>
          <w:sz w:val="24"/>
          <w:szCs w:val="24"/>
          <w:lang w:val="sr-Latn-ME"/>
        </w:rPr>
      </w:pPr>
    </w:p>
    <w:p>
      <w:pPr>
        <w:ind w:firstLine="850"/>
        <w:jc w:val="center"/>
        <w:rPr>
          <w:sz w:val="20"/>
          <w:szCs w:val="20"/>
          <w:lang w:val="sr-Latn-ME"/>
        </w:rPr>
      </w:pPr>
      <w:r>
        <w:rPr>
          <w:i/>
          <w:sz w:val="20"/>
          <w:szCs w:val="20"/>
          <w:lang w:val="sr-Latn-ME"/>
        </w:rPr>
        <w:t>Slika br.1: Sportski sadržaji J.P. “Sportski centar Nikšić”</w:t>
      </w:r>
    </w:p>
    <w:p>
      <w:pPr>
        <w:tabs>
          <w:tab w:val="left" w:pos="3660"/>
        </w:tabs>
        <w:ind w:firstLine="720"/>
        <w:jc w:val="both"/>
        <w:rPr>
          <w:i/>
          <w:lang w:val="sr-Latn-ME"/>
        </w:rPr>
      </w:pPr>
      <w:r>
        <w:drawing>
          <wp:inline distT="0" distB="0" distL="0" distR="0">
            <wp:extent cx="4720590" cy="1929765"/>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a:blip r:embed="rId12"/>
                    <a:srcRect l="-7" t="-18" r="-7" b="-18"/>
                    <a:stretch>
                      <a:fillRect/>
                    </a:stretch>
                  </pic:blipFill>
                  <pic:spPr>
                    <a:xfrm>
                      <a:off x="0" y="0"/>
                      <a:ext cx="4720590" cy="1929765"/>
                    </a:xfrm>
                    <a:prstGeom prst="rect">
                      <a:avLst/>
                    </a:prstGeom>
                  </pic:spPr>
                </pic:pic>
              </a:graphicData>
            </a:graphic>
          </wp:inline>
        </w:drawing>
      </w:r>
    </w:p>
    <w:p>
      <w:pPr>
        <w:ind w:firstLine="390"/>
        <w:jc w:val="both"/>
        <w:rPr>
          <w:sz w:val="24"/>
          <w:szCs w:val="24"/>
          <w:lang w:val="sr-Latn-ME"/>
        </w:rPr>
      </w:pPr>
      <w:r>
        <w:rPr>
          <w:sz w:val="24"/>
          <w:szCs w:val="24"/>
          <w:lang w:val="sr-Latn-ME"/>
        </w:rPr>
        <w:t>U navedenim sportskim sadržajima uz redovne trenažne aktivnosti sportskih škola i klubova, svoje aktivnosti održavaju i osobe sa posebnim potrebama i niz udruženja za rekreaciju i slobodno vrijeme.</w:t>
      </w:r>
    </w:p>
    <w:p>
      <w:pPr>
        <w:ind w:firstLine="390"/>
        <w:jc w:val="both"/>
        <w:rPr>
          <w:sz w:val="24"/>
          <w:szCs w:val="24"/>
        </w:rPr>
      </w:pPr>
      <w:r>
        <w:rPr>
          <w:sz w:val="24"/>
          <w:szCs w:val="24"/>
          <w:lang w:val="sr-Latn-ME"/>
        </w:rPr>
        <w:t xml:space="preserve">Najveći iznos prihoda Sportskog centra odnosi se na usluge izdavanja sportskih sadržaja ( sportske dvorane, teretane, bazena itd. ). Iz navedene analize se zaključuje da su prihodi po osnovu izdavanja sportskih sadržaja veći u odnosu na isti period prethodne godine za 7%. </w:t>
      </w:r>
    </w:p>
    <w:p>
      <w:pPr>
        <w:pStyle w:val="3"/>
        <w:rPr>
          <w:rFonts w:hint="eastAsia" w:ascii="Lucida Sans Unicode" w:hAnsi="Lucida Sans Unicode" w:cs="Lucida Sans Unicode"/>
        </w:rPr>
      </w:pPr>
      <w:bookmarkStart w:id="6" w:name="__RefHeading___Toc2266_3382316548"/>
      <w:bookmarkEnd w:id="6"/>
      <w:bookmarkStart w:id="7" w:name="_Toc160109706"/>
      <w:r>
        <w:rPr>
          <w:rFonts w:ascii="Lucida Sans Unicode" w:hAnsi="Lucida Sans Unicode" w:cs="Lucida Sans Unicode"/>
        </w:rPr>
        <w:t xml:space="preserve">2.1. </w:t>
      </w:r>
      <w:r>
        <w:rPr>
          <w:rFonts w:ascii="Lucida Sans Unicode" w:hAnsi="Lucida Sans Unicode" w:cs="Lucida Sans Unicode"/>
          <w:lang w:val="sr-Latn-ME"/>
        </w:rPr>
        <w:t>Aktivnosti i korištenje kapaciteta u pružanju usluga sportske dvorane</w:t>
      </w:r>
      <w:bookmarkEnd w:id="7"/>
      <w:r>
        <w:rPr>
          <w:rFonts w:ascii="Lucida Sans Unicode" w:hAnsi="Lucida Sans Unicode" w:cs="Lucida Sans Unicode"/>
          <w:lang w:val="sr-Latn-ME"/>
        </w:rPr>
        <w:t xml:space="preserve"> </w:t>
      </w:r>
    </w:p>
    <w:p>
      <w:pPr>
        <w:ind w:firstLine="850"/>
        <w:jc w:val="both"/>
        <w:rPr>
          <w:rFonts w:hint="eastAsia" w:eastAsia="SimSun"/>
          <w:sz w:val="24"/>
          <w:szCs w:val="24"/>
          <w:lang w:val="sr-Latn-ME"/>
        </w:rPr>
      </w:pPr>
      <w:r>
        <w:rPr>
          <w:rFonts w:eastAsia="SimSun"/>
          <w:sz w:val="24"/>
          <w:szCs w:val="24"/>
          <w:lang w:val="sr-Latn-ME"/>
        </w:rPr>
        <w:t>Sportska dvorana, kao i njeni prateći sadržaji ostvarili su prihode za 25 % veće u odnosu na prethodnu godinu. U 2023. godini sportska dvorana je korištena ukupno 4.515 sati i to:</w:t>
      </w:r>
    </w:p>
    <w:p>
      <w:pPr>
        <w:ind w:firstLine="850"/>
        <w:jc w:val="center"/>
        <w:rPr>
          <w:i/>
          <w:sz w:val="20"/>
          <w:szCs w:val="20"/>
          <w:lang w:val="sr-Latn-ME"/>
        </w:rPr>
      </w:pPr>
      <w:r>
        <w:rPr>
          <w:rFonts w:eastAsia="SimSun"/>
          <w:i/>
          <w:sz w:val="20"/>
          <w:szCs w:val="20"/>
          <w:lang w:val="sr-Latn-ME"/>
        </w:rPr>
        <w:t>Tabela 2.1.: Sati korištenja sportske dvorane u 2023. godini</w:t>
      </w:r>
    </w:p>
    <w:tbl>
      <w:tblPr>
        <w:tblStyle w:val="7"/>
        <w:tblW w:w="5000" w:type="pct"/>
        <w:jc w:val="center"/>
        <w:tblLayout w:type="fixed"/>
        <w:tblCellMar>
          <w:top w:w="0" w:type="dxa"/>
          <w:left w:w="108" w:type="dxa"/>
          <w:bottom w:w="0" w:type="dxa"/>
          <w:right w:w="108" w:type="dxa"/>
        </w:tblCellMar>
      </w:tblPr>
      <w:tblGrid>
        <w:gridCol w:w="970"/>
        <w:gridCol w:w="4925"/>
        <w:gridCol w:w="882"/>
        <w:gridCol w:w="868"/>
        <w:gridCol w:w="2173"/>
      </w:tblGrid>
      <w:tr>
        <w:tblPrEx>
          <w:tblCellMar>
            <w:top w:w="0" w:type="dxa"/>
            <w:left w:w="108" w:type="dxa"/>
            <w:bottom w:w="0" w:type="dxa"/>
            <w:right w:w="108" w:type="dxa"/>
          </w:tblCellMar>
        </w:tblPrEx>
        <w:trPr>
          <w:trHeight w:val="449" w:hRule="atLeast"/>
          <w:jc w:val="center"/>
        </w:trPr>
        <w:tc>
          <w:tcPr>
            <w:tcW w:w="948"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pPr>
            <w:r>
              <w:rPr>
                <w:b/>
                <w:lang w:val="sr-Latn-ME"/>
              </w:rPr>
              <w:t>R</w:t>
            </w:r>
            <w:r>
              <w:rPr>
                <w:b/>
              </w:rPr>
              <w:t xml:space="preserve">. </w:t>
            </w:r>
            <w:r>
              <w:rPr>
                <w:b/>
                <w:lang w:val="sr-Latn-ME"/>
              </w:rPr>
              <w:t>br</w:t>
            </w:r>
            <w:r>
              <w:rPr>
                <w:b/>
              </w:rPr>
              <w:t>.</w:t>
            </w:r>
          </w:p>
        </w:tc>
        <w:tc>
          <w:tcPr>
            <w:tcW w:w="4817"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rPr>
                <w:b/>
                <w:lang w:val="sr-Latn-ME"/>
              </w:rPr>
            </w:pPr>
            <w:r>
              <w:rPr>
                <w:b/>
                <w:lang w:val="sr-Latn-ME"/>
              </w:rPr>
              <w:t>Opis</w:t>
            </w:r>
          </w:p>
        </w:tc>
        <w:tc>
          <w:tcPr>
            <w:tcW w:w="863"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rPr>
                <w:b/>
              </w:rPr>
            </w:pPr>
            <w:r>
              <w:rPr>
                <w:b/>
              </w:rPr>
              <w:t>2022</w:t>
            </w:r>
          </w:p>
        </w:tc>
        <w:tc>
          <w:tcPr>
            <w:tcW w:w="849"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pPr>
            <w:r>
              <w:rPr>
                <w:b/>
              </w:rPr>
              <w:t>2022</w:t>
            </w:r>
          </w:p>
        </w:tc>
        <w:tc>
          <w:tcPr>
            <w:tcW w:w="2125"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pPr>
            <w:r>
              <w:rPr>
                <w:b/>
                <w:lang w:val="sr-Latn-ME"/>
              </w:rPr>
              <w:t>Indeks</w:t>
            </w:r>
            <w:r>
              <w:rPr>
                <w:b/>
              </w:rPr>
              <w:t xml:space="preserve"> 2023/2022</w:t>
            </w:r>
          </w:p>
        </w:tc>
      </w:tr>
      <w:tr>
        <w:tblPrEx>
          <w:tblCellMar>
            <w:top w:w="0" w:type="dxa"/>
            <w:left w:w="108" w:type="dxa"/>
            <w:bottom w:w="0" w:type="dxa"/>
            <w:right w:w="108" w:type="dxa"/>
          </w:tblCellMar>
        </w:tblPrEx>
        <w:trPr>
          <w:trHeight w:val="449" w:hRule="atLeast"/>
          <w:jc w:val="center"/>
        </w:trPr>
        <w:tc>
          <w:tcPr>
            <w:tcW w:w="948" w:type="dxa"/>
            <w:tcBorders>
              <w:top w:val="double" w:color="000000" w:sz="4" w:space="0"/>
              <w:left w:val="double" w:color="000000" w:sz="4" w:space="0"/>
              <w:bottom w:val="single" w:color="000000" w:sz="4" w:space="0"/>
              <w:right w:val="single" w:color="000000" w:sz="4" w:space="0"/>
            </w:tcBorders>
          </w:tcPr>
          <w:p>
            <w:pPr>
              <w:jc w:val="center"/>
            </w:pPr>
            <w:r>
              <w:t>I</w:t>
            </w:r>
          </w:p>
        </w:tc>
        <w:tc>
          <w:tcPr>
            <w:tcW w:w="4817" w:type="dxa"/>
            <w:tcBorders>
              <w:top w:val="double" w:color="000000" w:sz="4" w:space="0"/>
              <w:left w:val="single" w:color="000000" w:sz="4" w:space="0"/>
              <w:bottom w:val="single" w:color="000000" w:sz="4" w:space="0"/>
              <w:right w:val="single" w:color="000000" w:sz="4" w:space="0"/>
            </w:tcBorders>
          </w:tcPr>
          <w:p>
            <w:pPr>
              <w:jc w:val="center"/>
              <w:rPr>
                <w:b/>
                <w:lang w:val="sr-Latn-ME"/>
              </w:rPr>
            </w:pPr>
            <w:r>
              <w:rPr>
                <w:b/>
                <w:lang w:val="sr-Latn-ME"/>
              </w:rPr>
              <w:t>VELIKA DVORANA</w:t>
            </w:r>
          </w:p>
        </w:tc>
        <w:tc>
          <w:tcPr>
            <w:tcW w:w="863" w:type="dxa"/>
            <w:tcBorders>
              <w:top w:val="double" w:color="000000" w:sz="4" w:space="0"/>
              <w:left w:val="single" w:color="000000" w:sz="4" w:space="0"/>
              <w:bottom w:val="single" w:color="000000" w:sz="4" w:space="0"/>
              <w:right w:val="single" w:color="000000" w:sz="4" w:space="0"/>
            </w:tcBorders>
          </w:tcPr>
          <w:p>
            <w:pPr>
              <w:jc w:val="center"/>
              <w:rPr>
                <w:b/>
              </w:rPr>
            </w:pPr>
            <w:r>
              <w:rPr>
                <w:b/>
              </w:rPr>
              <w:t>1.902</w:t>
            </w:r>
          </w:p>
        </w:tc>
        <w:tc>
          <w:tcPr>
            <w:tcW w:w="849" w:type="dxa"/>
            <w:tcBorders>
              <w:top w:val="double" w:color="000000" w:sz="4" w:space="0"/>
              <w:left w:val="single" w:color="000000" w:sz="4" w:space="0"/>
              <w:bottom w:val="single" w:color="000000" w:sz="4" w:space="0"/>
              <w:right w:val="single" w:color="000000" w:sz="4" w:space="0"/>
            </w:tcBorders>
          </w:tcPr>
          <w:p>
            <w:pPr>
              <w:jc w:val="center"/>
            </w:pPr>
            <w:r>
              <w:rPr>
                <w:b/>
              </w:rPr>
              <w:t>2.597</w:t>
            </w:r>
          </w:p>
        </w:tc>
        <w:tc>
          <w:tcPr>
            <w:tcW w:w="2125" w:type="dxa"/>
            <w:tcBorders>
              <w:top w:val="double" w:color="000000" w:sz="4" w:space="0"/>
              <w:left w:val="single" w:color="000000" w:sz="4" w:space="0"/>
              <w:bottom w:val="single" w:color="000000" w:sz="4" w:space="0"/>
              <w:right w:val="double" w:color="000000" w:sz="4" w:space="0"/>
            </w:tcBorders>
          </w:tcPr>
          <w:p>
            <w:pPr>
              <w:jc w:val="center"/>
              <w:rPr>
                <w:b/>
              </w:rPr>
            </w:pPr>
            <w:r>
              <w:rPr>
                <w:b/>
              </w:rPr>
              <w:t>137</w:t>
            </w:r>
          </w:p>
        </w:tc>
      </w:tr>
      <w:tr>
        <w:tblPrEx>
          <w:tblCellMar>
            <w:top w:w="0" w:type="dxa"/>
            <w:left w:w="108" w:type="dxa"/>
            <w:bottom w:w="0" w:type="dxa"/>
            <w:right w:w="108" w:type="dxa"/>
          </w:tblCellMar>
        </w:tblPrEx>
        <w:trPr>
          <w:trHeight w:val="428" w:hRule="atLeast"/>
          <w:jc w:val="center"/>
        </w:trPr>
        <w:tc>
          <w:tcPr>
            <w:tcW w:w="948" w:type="dxa"/>
            <w:tcBorders>
              <w:top w:val="single" w:color="000000" w:sz="4" w:space="0"/>
              <w:left w:val="double" w:color="000000" w:sz="4" w:space="0"/>
              <w:bottom w:val="single" w:color="000000" w:sz="4" w:space="0"/>
              <w:right w:val="single" w:color="000000" w:sz="4" w:space="0"/>
            </w:tcBorders>
          </w:tcPr>
          <w:p>
            <w:r>
              <w:t>1.</w:t>
            </w:r>
          </w:p>
        </w:tc>
        <w:tc>
          <w:tcPr>
            <w:tcW w:w="4817" w:type="dxa"/>
            <w:tcBorders>
              <w:top w:val="single" w:color="000000" w:sz="4" w:space="0"/>
              <w:left w:val="single" w:color="000000" w:sz="4" w:space="0"/>
              <w:bottom w:val="single" w:color="000000" w:sz="4" w:space="0"/>
              <w:right w:val="single" w:color="000000" w:sz="4" w:space="0"/>
            </w:tcBorders>
          </w:tcPr>
          <w:p>
            <w:pPr>
              <w:rPr>
                <w:b/>
                <w:lang w:val="sr-Latn-ME"/>
              </w:rPr>
            </w:pPr>
            <w:r>
              <w:rPr>
                <w:b/>
                <w:lang w:val="sr-Latn-ME"/>
              </w:rPr>
              <w:t>Olimpijski program sportova</w:t>
            </w:r>
          </w:p>
        </w:tc>
        <w:tc>
          <w:tcPr>
            <w:tcW w:w="863" w:type="dxa"/>
            <w:tcBorders>
              <w:top w:val="single" w:color="000000" w:sz="4" w:space="0"/>
              <w:left w:val="single" w:color="000000" w:sz="4" w:space="0"/>
              <w:bottom w:val="single" w:color="000000" w:sz="4" w:space="0"/>
              <w:right w:val="single" w:color="000000" w:sz="4" w:space="0"/>
            </w:tcBorders>
          </w:tcPr>
          <w:p>
            <w:pPr>
              <w:jc w:val="center"/>
            </w:pPr>
            <w:r>
              <w:t>1.682</w:t>
            </w:r>
          </w:p>
        </w:tc>
        <w:tc>
          <w:tcPr>
            <w:tcW w:w="849" w:type="dxa"/>
            <w:tcBorders>
              <w:top w:val="single" w:color="000000" w:sz="4" w:space="0"/>
              <w:left w:val="single" w:color="000000" w:sz="4" w:space="0"/>
              <w:bottom w:val="single" w:color="000000" w:sz="4" w:space="0"/>
              <w:right w:val="single" w:color="000000" w:sz="4" w:space="0"/>
            </w:tcBorders>
          </w:tcPr>
          <w:p>
            <w:pPr>
              <w:jc w:val="center"/>
            </w:pPr>
            <w:r>
              <w:t>2.350</w:t>
            </w:r>
          </w:p>
        </w:tc>
        <w:tc>
          <w:tcPr>
            <w:tcW w:w="2125" w:type="dxa"/>
            <w:tcBorders>
              <w:top w:val="single" w:color="000000" w:sz="4" w:space="0"/>
              <w:left w:val="single" w:color="000000" w:sz="4" w:space="0"/>
              <w:bottom w:val="single" w:color="000000" w:sz="4" w:space="0"/>
              <w:right w:val="double" w:color="000000" w:sz="4" w:space="0"/>
            </w:tcBorders>
          </w:tcPr>
          <w:p>
            <w:pPr>
              <w:jc w:val="center"/>
              <w:rPr>
                <w:bCs/>
              </w:rPr>
            </w:pPr>
            <w:r>
              <w:rPr>
                <w:bCs/>
              </w:rPr>
              <w:t>140</w:t>
            </w:r>
          </w:p>
        </w:tc>
      </w:tr>
      <w:tr>
        <w:tblPrEx>
          <w:tblCellMar>
            <w:top w:w="0" w:type="dxa"/>
            <w:left w:w="108" w:type="dxa"/>
            <w:bottom w:w="0" w:type="dxa"/>
            <w:right w:w="108" w:type="dxa"/>
          </w:tblCellMar>
        </w:tblPrEx>
        <w:trPr>
          <w:trHeight w:val="428" w:hRule="atLeast"/>
          <w:jc w:val="center"/>
        </w:trPr>
        <w:tc>
          <w:tcPr>
            <w:tcW w:w="948" w:type="dxa"/>
            <w:tcBorders>
              <w:top w:val="single" w:color="000000" w:sz="4" w:space="0"/>
              <w:left w:val="double" w:color="000000" w:sz="4" w:space="0"/>
              <w:bottom w:val="single" w:color="000000" w:sz="4" w:space="0"/>
              <w:right w:val="single" w:color="000000" w:sz="4" w:space="0"/>
            </w:tcBorders>
          </w:tcPr>
          <w:p>
            <w:pPr>
              <w:jc w:val="right"/>
            </w:pPr>
            <w:r>
              <w:t>1.1.</w:t>
            </w:r>
          </w:p>
        </w:tc>
        <w:tc>
          <w:tcPr>
            <w:tcW w:w="4817" w:type="dxa"/>
            <w:tcBorders>
              <w:top w:val="single" w:color="000000" w:sz="4" w:space="0"/>
              <w:left w:val="single" w:color="000000" w:sz="4" w:space="0"/>
              <w:bottom w:val="single" w:color="000000" w:sz="4" w:space="0"/>
              <w:right w:val="single" w:color="000000" w:sz="4" w:space="0"/>
            </w:tcBorders>
          </w:tcPr>
          <w:p>
            <w:pPr>
              <w:rPr>
                <w:lang w:val="sr-Latn-ME"/>
              </w:rPr>
            </w:pPr>
            <w:r>
              <w:rPr>
                <w:lang w:val="sr-Latn-ME"/>
              </w:rPr>
              <w:t>Usluge održavanja treninga</w:t>
            </w:r>
          </w:p>
        </w:tc>
        <w:tc>
          <w:tcPr>
            <w:tcW w:w="863" w:type="dxa"/>
            <w:tcBorders>
              <w:top w:val="single" w:color="000000" w:sz="4" w:space="0"/>
              <w:left w:val="single" w:color="000000" w:sz="4" w:space="0"/>
              <w:bottom w:val="single" w:color="000000" w:sz="4" w:space="0"/>
              <w:right w:val="single" w:color="000000" w:sz="4" w:space="0"/>
            </w:tcBorders>
            <w:vAlign w:val="center"/>
          </w:tcPr>
          <w:p>
            <w:pPr>
              <w:jc w:val="center"/>
            </w:pPr>
            <w:r>
              <w:t>1.508</w:t>
            </w:r>
          </w:p>
        </w:tc>
        <w:tc>
          <w:tcPr>
            <w:tcW w:w="849" w:type="dxa"/>
            <w:tcBorders>
              <w:top w:val="single" w:color="000000" w:sz="4" w:space="0"/>
              <w:left w:val="single" w:color="000000" w:sz="4" w:space="0"/>
              <w:bottom w:val="single" w:color="000000" w:sz="4" w:space="0"/>
              <w:right w:val="single" w:color="000000" w:sz="4" w:space="0"/>
            </w:tcBorders>
            <w:vAlign w:val="center"/>
          </w:tcPr>
          <w:p>
            <w:pPr>
              <w:jc w:val="center"/>
            </w:pPr>
            <w:r>
              <w:t>2.150</w:t>
            </w:r>
          </w:p>
        </w:tc>
        <w:tc>
          <w:tcPr>
            <w:tcW w:w="2125" w:type="dxa"/>
            <w:tcBorders>
              <w:top w:val="single" w:color="000000" w:sz="4" w:space="0"/>
              <w:left w:val="single" w:color="000000" w:sz="4" w:space="0"/>
              <w:bottom w:val="single" w:color="000000" w:sz="4" w:space="0"/>
              <w:right w:val="double" w:color="000000" w:sz="4" w:space="0"/>
            </w:tcBorders>
          </w:tcPr>
          <w:p>
            <w:pPr>
              <w:jc w:val="center"/>
              <w:rPr>
                <w:lang w:val="sr-Latn-ME"/>
              </w:rPr>
            </w:pPr>
            <w:r>
              <w:rPr>
                <w:lang w:val="sr-Latn-ME"/>
              </w:rPr>
              <w:t>143</w:t>
            </w:r>
          </w:p>
        </w:tc>
      </w:tr>
      <w:tr>
        <w:tblPrEx>
          <w:tblCellMar>
            <w:top w:w="0" w:type="dxa"/>
            <w:left w:w="108" w:type="dxa"/>
            <w:bottom w:w="0" w:type="dxa"/>
            <w:right w:w="108" w:type="dxa"/>
          </w:tblCellMar>
        </w:tblPrEx>
        <w:trPr>
          <w:trHeight w:val="428" w:hRule="atLeast"/>
          <w:jc w:val="center"/>
        </w:trPr>
        <w:tc>
          <w:tcPr>
            <w:tcW w:w="948" w:type="dxa"/>
            <w:tcBorders>
              <w:top w:val="single" w:color="000000" w:sz="4" w:space="0"/>
              <w:left w:val="double" w:color="000000" w:sz="4" w:space="0"/>
              <w:bottom w:val="single" w:color="000000" w:sz="4" w:space="0"/>
              <w:right w:val="single" w:color="000000" w:sz="4" w:space="0"/>
            </w:tcBorders>
          </w:tcPr>
          <w:p>
            <w:pPr>
              <w:jc w:val="right"/>
            </w:pPr>
            <w:r>
              <w:t>1.2.</w:t>
            </w:r>
          </w:p>
        </w:tc>
        <w:tc>
          <w:tcPr>
            <w:tcW w:w="4817" w:type="dxa"/>
            <w:tcBorders>
              <w:top w:val="single" w:color="000000" w:sz="4" w:space="0"/>
              <w:left w:val="single" w:color="000000" w:sz="4" w:space="0"/>
              <w:bottom w:val="single" w:color="000000" w:sz="4" w:space="0"/>
              <w:right w:val="single" w:color="000000" w:sz="4" w:space="0"/>
            </w:tcBorders>
          </w:tcPr>
          <w:p>
            <w:pPr>
              <w:rPr>
                <w:lang w:val="sr-Latn-ME"/>
              </w:rPr>
            </w:pPr>
            <w:r>
              <w:rPr>
                <w:lang w:val="sr-Latn-ME"/>
              </w:rPr>
              <w:t>Usluge održavanja utakmica</w:t>
            </w:r>
          </w:p>
        </w:tc>
        <w:tc>
          <w:tcPr>
            <w:tcW w:w="863" w:type="dxa"/>
            <w:tcBorders>
              <w:top w:val="single" w:color="000000" w:sz="4" w:space="0"/>
              <w:left w:val="single" w:color="000000" w:sz="4" w:space="0"/>
              <w:bottom w:val="single" w:color="000000" w:sz="4" w:space="0"/>
              <w:right w:val="single" w:color="000000" w:sz="4" w:space="0"/>
            </w:tcBorders>
            <w:vAlign w:val="center"/>
          </w:tcPr>
          <w:p>
            <w:pPr>
              <w:jc w:val="center"/>
            </w:pPr>
            <w:r>
              <w:t>174</w:t>
            </w:r>
          </w:p>
        </w:tc>
        <w:tc>
          <w:tcPr>
            <w:tcW w:w="849" w:type="dxa"/>
            <w:tcBorders>
              <w:top w:val="single" w:color="000000" w:sz="4" w:space="0"/>
              <w:left w:val="single" w:color="000000" w:sz="4" w:space="0"/>
              <w:bottom w:val="single" w:color="000000" w:sz="4" w:space="0"/>
              <w:right w:val="single" w:color="000000" w:sz="4" w:space="0"/>
            </w:tcBorders>
            <w:vAlign w:val="center"/>
          </w:tcPr>
          <w:p>
            <w:pPr>
              <w:jc w:val="center"/>
            </w:pPr>
            <w:r>
              <w:t>200</w:t>
            </w:r>
          </w:p>
        </w:tc>
        <w:tc>
          <w:tcPr>
            <w:tcW w:w="2125" w:type="dxa"/>
            <w:tcBorders>
              <w:top w:val="single" w:color="000000" w:sz="4" w:space="0"/>
              <w:left w:val="single" w:color="000000" w:sz="4" w:space="0"/>
              <w:bottom w:val="single" w:color="000000" w:sz="4" w:space="0"/>
              <w:right w:val="double" w:color="000000" w:sz="4" w:space="0"/>
            </w:tcBorders>
          </w:tcPr>
          <w:p>
            <w:pPr>
              <w:jc w:val="center"/>
              <w:rPr>
                <w:lang w:val="sr-Latn-ME"/>
              </w:rPr>
            </w:pPr>
            <w:r>
              <w:rPr>
                <w:lang w:val="sr-Latn-ME"/>
              </w:rPr>
              <w:t>115</w:t>
            </w:r>
          </w:p>
        </w:tc>
      </w:tr>
      <w:tr>
        <w:tblPrEx>
          <w:tblCellMar>
            <w:top w:w="0" w:type="dxa"/>
            <w:left w:w="108" w:type="dxa"/>
            <w:bottom w:w="0" w:type="dxa"/>
            <w:right w:w="108" w:type="dxa"/>
          </w:tblCellMar>
        </w:tblPrEx>
        <w:trPr>
          <w:trHeight w:val="428" w:hRule="atLeast"/>
          <w:jc w:val="center"/>
        </w:trPr>
        <w:tc>
          <w:tcPr>
            <w:tcW w:w="948" w:type="dxa"/>
            <w:tcBorders>
              <w:top w:val="single" w:color="000000" w:sz="4" w:space="0"/>
              <w:left w:val="double" w:color="000000" w:sz="4" w:space="0"/>
              <w:bottom w:val="single" w:color="000000" w:sz="4" w:space="0"/>
              <w:right w:val="single" w:color="000000" w:sz="4" w:space="0"/>
            </w:tcBorders>
          </w:tcPr>
          <w:p>
            <w:r>
              <w:t>2.</w:t>
            </w:r>
          </w:p>
        </w:tc>
        <w:tc>
          <w:tcPr>
            <w:tcW w:w="4817" w:type="dxa"/>
            <w:tcBorders>
              <w:top w:val="single" w:color="000000" w:sz="4" w:space="0"/>
              <w:left w:val="single" w:color="000000" w:sz="4" w:space="0"/>
              <w:bottom w:val="single" w:color="000000" w:sz="4" w:space="0"/>
              <w:right w:val="single" w:color="000000" w:sz="4" w:space="0"/>
            </w:tcBorders>
          </w:tcPr>
          <w:p>
            <w:pPr>
              <w:rPr>
                <w:b/>
                <w:lang w:val="sr-Latn-ME"/>
              </w:rPr>
            </w:pPr>
            <w:r>
              <w:rPr>
                <w:b/>
                <w:lang w:val="sr-Latn-ME"/>
              </w:rPr>
              <w:t>Drugi sportovi i rekreacija</w:t>
            </w:r>
          </w:p>
        </w:tc>
        <w:tc>
          <w:tcPr>
            <w:tcW w:w="863" w:type="dxa"/>
            <w:tcBorders>
              <w:top w:val="single" w:color="000000" w:sz="4" w:space="0"/>
              <w:left w:val="single" w:color="000000" w:sz="4" w:space="0"/>
              <w:bottom w:val="single" w:color="000000" w:sz="4" w:space="0"/>
              <w:right w:val="single" w:color="000000" w:sz="4" w:space="0"/>
            </w:tcBorders>
            <w:vAlign w:val="center"/>
          </w:tcPr>
          <w:p>
            <w:pPr>
              <w:jc w:val="center"/>
            </w:pPr>
            <w:r>
              <w:t>213</w:t>
            </w:r>
          </w:p>
        </w:tc>
        <w:tc>
          <w:tcPr>
            <w:tcW w:w="849" w:type="dxa"/>
            <w:tcBorders>
              <w:top w:val="single" w:color="000000" w:sz="4" w:space="0"/>
              <w:left w:val="single" w:color="000000" w:sz="4" w:space="0"/>
              <w:bottom w:val="single" w:color="000000" w:sz="4" w:space="0"/>
              <w:right w:val="single" w:color="000000" w:sz="4" w:space="0"/>
            </w:tcBorders>
            <w:vAlign w:val="center"/>
          </w:tcPr>
          <w:p>
            <w:pPr>
              <w:jc w:val="center"/>
              <w:rPr>
                <w:bCs/>
              </w:rPr>
            </w:pPr>
            <w:r>
              <w:rPr>
                <w:bCs/>
              </w:rPr>
              <w:t>219</w:t>
            </w:r>
          </w:p>
        </w:tc>
        <w:tc>
          <w:tcPr>
            <w:tcW w:w="2125" w:type="dxa"/>
            <w:tcBorders>
              <w:top w:val="single" w:color="000000" w:sz="4" w:space="0"/>
              <w:left w:val="single" w:color="000000" w:sz="4" w:space="0"/>
              <w:bottom w:val="single" w:color="000000" w:sz="4" w:space="0"/>
              <w:right w:val="double" w:color="000000" w:sz="4" w:space="0"/>
            </w:tcBorders>
          </w:tcPr>
          <w:p>
            <w:pPr>
              <w:jc w:val="center"/>
              <w:rPr>
                <w:bCs/>
              </w:rPr>
            </w:pPr>
            <w:r>
              <w:rPr>
                <w:bCs/>
              </w:rPr>
              <w:t>103</w:t>
            </w:r>
          </w:p>
        </w:tc>
      </w:tr>
      <w:tr>
        <w:tblPrEx>
          <w:tblCellMar>
            <w:top w:w="0" w:type="dxa"/>
            <w:left w:w="108" w:type="dxa"/>
            <w:bottom w:w="0" w:type="dxa"/>
            <w:right w:w="108" w:type="dxa"/>
          </w:tblCellMar>
        </w:tblPrEx>
        <w:trPr>
          <w:trHeight w:val="428" w:hRule="atLeast"/>
          <w:jc w:val="center"/>
        </w:trPr>
        <w:tc>
          <w:tcPr>
            <w:tcW w:w="948" w:type="dxa"/>
            <w:tcBorders>
              <w:top w:val="single" w:color="000000" w:sz="4" w:space="0"/>
              <w:left w:val="double" w:color="000000" w:sz="4" w:space="0"/>
              <w:bottom w:val="single" w:color="000000" w:sz="4" w:space="0"/>
              <w:right w:val="single" w:color="000000" w:sz="4" w:space="0"/>
            </w:tcBorders>
          </w:tcPr>
          <w:p>
            <w:pPr>
              <w:jc w:val="right"/>
            </w:pPr>
            <w:r>
              <w:t>2.1.</w:t>
            </w:r>
          </w:p>
        </w:tc>
        <w:tc>
          <w:tcPr>
            <w:tcW w:w="4817" w:type="dxa"/>
            <w:tcBorders>
              <w:top w:val="single" w:color="000000" w:sz="4" w:space="0"/>
              <w:left w:val="single" w:color="000000" w:sz="4" w:space="0"/>
              <w:bottom w:val="single" w:color="000000" w:sz="4" w:space="0"/>
              <w:right w:val="single" w:color="000000" w:sz="4" w:space="0"/>
            </w:tcBorders>
          </w:tcPr>
          <w:p>
            <w:pPr>
              <w:rPr>
                <w:lang w:val="sr-Latn-ME"/>
              </w:rPr>
            </w:pPr>
            <w:r>
              <w:rPr>
                <w:lang w:val="sr-Latn-ME"/>
              </w:rPr>
              <w:t>Usluge održavanja treninga</w:t>
            </w:r>
          </w:p>
        </w:tc>
        <w:tc>
          <w:tcPr>
            <w:tcW w:w="863" w:type="dxa"/>
            <w:tcBorders>
              <w:top w:val="single" w:color="000000" w:sz="4" w:space="0"/>
              <w:left w:val="single" w:color="000000" w:sz="4" w:space="0"/>
              <w:bottom w:val="single" w:color="000000" w:sz="4" w:space="0"/>
              <w:right w:val="single" w:color="000000" w:sz="4" w:space="0"/>
            </w:tcBorders>
            <w:vAlign w:val="center"/>
          </w:tcPr>
          <w:p>
            <w:pPr>
              <w:jc w:val="center"/>
            </w:pPr>
            <w:r>
              <w:t>166</w:t>
            </w:r>
          </w:p>
        </w:tc>
        <w:tc>
          <w:tcPr>
            <w:tcW w:w="849" w:type="dxa"/>
            <w:tcBorders>
              <w:top w:val="single" w:color="000000" w:sz="4" w:space="0"/>
              <w:left w:val="single" w:color="000000" w:sz="4" w:space="0"/>
              <w:bottom w:val="single" w:color="000000" w:sz="4" w:space="0"/>
              <w:right w:val="single" w:color="000000" w:sz="4" w:space="0"/>
            </w:tcBorders>
            <w:vAlign w:val="center"/>
          </w:tcPr>
          <w:p>
            <w:pPr>
              <w:jc w:val="center"/>
            </w:pPr>
            <w:r>
              <w:t>158</w:t>
            </w:r>
          </w:p>
        </w:tc>
        <w:tc>
          <w:tcPr>
            <w:tcW w:w="2125" w:type="dxa"/>
            <w:tcBorders>
              <w:top w:val="single" w:color="000000" w:sz="4" w:space="0"/>
              <w:left w:val="single" w:color="000000" w:sz="4" w:space="0"/>
              <w:bottom w:val="single" w:color="000000" w:sz="4" w:space="0"/>
              <w:right w:val="double" w:color="000000" w:sz="4" w:space="0"/>
            </w:tcBorders>
          </w:tcPr>
          <w:p>
            <w:pPr>
              <w:jc w:val="center"/>
            </w:pPr>
            <w:r>
              <w:t>95</w:t>
            </w:r>
          </w:p>
        </w:tc>
      </w:tr>
      <w:tr>
        <w:tblPrEx>
          <w:tblCellMar>
            <w:top w:w="0" w:type="dxa"/>
            <w:left w:w="108" w:type="dxa"/>
            <w:bottom w:w="0" w:type="dxa"/>
            <w:right w:w="108" w:type="dxa"/>
          </w:tblCellMar>
        </w:tblPrEx>
        <w:trPr>
          <w:trHeight w:val="428" w:hRule="atLeast"/>
          <w:jc w:val="center"/>
        </w:trPr>
        <w:tc>
          <w:tcPr>
            <w:tcW w:w="948" w:type="dxa"/>
            <w:tcBorders>
              <w:top w:val="single" w:color="000000" w:sz="4" w:space="0"/>
              <w:left w:val="double" w:color="000000" w:sz="4" w:space="0"/>
              <w:bottom w:val="single" w:color="000000" w:sz="4" w:space="0"/>
              <w:right w:val="single" w:color="000000" w:sz="4" w:space="0"/>
            </w:tcBorders>
          </w:tcPr>
          <w:p>
            <w:pPr>
              <w:jc w:val="right"/>
            </w:pPr>
            <w:r>
              <w:t>2.2.</w:t>
            </w:r>
          </w:p>
        </w:tc>
        <w:tc>
          <w:tcPr>
            <w:tcW w:w="4817" w:type="dxa"/>
            <w:tcBorders>
              <w:top w:val="single" w:color="000000" w:sz="4" w:space="0"/>
              <w:left w:val="single" w:color="000000" w:sz="4" w:space="0"/>
              <w:bottom w:val="single" w:color="000000" w:sz="4" w:space="0"/>
              <w:right w:val="single" w:color="000000" w:sz="4" w:space="0"/>
            </w:tcBorders>
          </w:tcPr>
          <w:p>
            <w:pPr>
              <w:rPr>
                <w:lang w:val="sr-Latn-ME"/>
              </w:rPr>
            </w:pPr>
            <w:r>
              <w:rPr>
                <w:lang w:val="sr-Latn-ME"/>
              </w:rPr>
              <w:t>Usluge održavanja utakmica</w:t>
            </w:r>
          </w:p>
        </w:tc>
        <w:tc>
          <w:tcPr>
            <w:tcW w:w="863" w:type="dxa"/>
            <w:tcBorders>
              <w:top w:val="single" w:color="000000" w:sz="4" w:space="0"/>
              <w:left w:val="single" w:color="000000" w:sz="4" w:space="0"/>
              <w:bottom w:val="single" w:color="000000" w:sz="4" w:space="0"/>
              <w:right w:val="single" w:color="000000" w:sz="4" w:space="0"/>
            </w:tcBorders>
            <w:vAlign w:val="center"/>
          </w:tcPr>
          <w:p>
            <w:pPr>
              <w:jc w:val="center"/>
            </w:pPr>
            <w:r>
              <w:t>29</w:t>
            </w:r>
          </w:p>
        </w:tc>
        <w:tc>
          <w:tcPr>
            <w:tcW w:w="849" w:type="dxa"/>
            <w:tcBorders>
              <w:top w:val="single" w:color="000000" w:sz="4" w:space="0"/>
              <w:left w:val="single" w:color="000000" w:sz="4" w:space="0"/>
              <w:bottom w:val="single" w:color="000000" w:sz="4" w:space="0"/>
              <w:right w:val="single" w:color="000000" w:sz="4" w:space="0"/>
            </w:tcBorders>
            <w:vAlign w:val="center"/>
          </w:tcPr>
          <w:p>
            <w:pPr>
              <w:jc w:val="center"/>
            </w:pPr>
            <w:r>
              <w:t>42</w:t>
            </w:r>
          </w:p>
        </w:tc>
        <w:tc>
          <w:tcPr>
            <w:tcW w:w="2125" w:type="dxa"/>
            <w:tcBorders>
              <w:top w:val="single" w:color="000000" w:sz="4" w:space="0"/>
              <w:left w:val="single" w:color="000000" w:sz="4" w:space="0"/>
              <w:bottom w:val="single" w:color="000000" w:sz="4" w:space="0"/>
              <w:right w:val="double" w:color="000000" w:sz="4" w:space="0"/>
            </w:tcBorders>
          </w:tcPr>
          <w:p>
            <w:pPr>
              <w:jc w:val="center"/>
            </w:pPr>
            <w:r>
              <w:t>145</w:t>
            </w:r>
          </w:p>
        </w:tc>
      </w:tr>
      <w:tr>
        <w:tblPrEx>
          <w:tblCellMar>
            <w:top w:w="0" w:type="dxa"/>
            <w:left w:w="108" w:type="dxa"/>
            <w:bottom w:w="0" w:type="dxa"/>
            <w:right w:w="108" w:type="dxa"/>
          </w:tblCellMar>
        </w:tblPrEx>
        <w:trPr>
          <w:trHeight w:val="428" w:hRule="atLeast"/>
          <w:jc w:val="center"/>
        </w:trPr>
        <w:tc>
          <w:tcPr>
            <w:tcW w:w="948" w:type="dxa"/>
            <w:tcBorders>
              <w:top w:val="single" w:color="000000" w:sz="4" w:space="0"/>
              <w:left w:val="double" w:color="000000" w:sz="4" w:space="0"/>
              <w:bottom w:val="single" w:color="000000" w:sz="4" w:space="0"/>
              <w:right w:val="single" w:color="000000" w:sz="4" w:space="0"/>
            </w:tcBorders>
          </w:tcPr>
          <w:p>
            <w:pPr>
              <w:jc w:val="right"/>
            </w:pPr>
            <w:r>
              <w:t>2.3.</w:t>
            </w:r>
          </w:p>
        </w:tc>
        <w:tc>
          <w:tcPr>
            <w:tcW w:w="4817" w:type="dxa"/>
            <w:tcBorders>
              <w:top w:val="single" w:color="000000" w:sz="4" w:space="0"/>
              <w:left w:val="single" w:color="000000" w:sz="4" w:space="0"/>
              <w:bottom w:val="single" w:color="000000" w:sz="4" w:space="0"/>
              <w:right w:val="single" w:color="000000" w:sz="4" w:space="0"/>
            </w:tcBorders>
          </w:tcPr>
          <w:p>
            <w:pPr>
              <w:rPr>
                <w:lang w:val="sr-Latn-ME"/>
              </w:rPr>
            </w:pPr>
            <w:r>
              <w:rPr>
                <w:lang w:val="sr-Latn-ME"/>
              </w:rPr>
              <w:t>Škola fudbala</w:t>
            </w:r>
          </w:p>
        </w:tc>
        <w:tc>
          <w:tcPr>
            <w:tcW w:w="863" w:type="dxa"/>
            <w:tcBorders>
              <w:top w:val="single" w:color="000000" w:sz="4" w:space="0"/>
              <w:left w:val="single" w:color="000000" w:sz="4" w:space="0"/>
              <w:bottom w:val="single" w:color="000000" w:sz="4" w:space="0"/>
              <w:right w:val="single" w:color="000000" w:sz="4" w:space="0"/>
            </w:tcBorders>
            <w:vAlign w:val="center"/>
          </w:tcPr>
          <w:p>
            <w:pPr>
              <w:jc w:val="center"/>
            </w:pPr>
            <w:r>
              <w:t>18</w:t>
            </w:r>
          </w:p>
        </w:tc>
        <w:tc>
          <w:tcPr>
            <w:tcW w:w="849" w:type="dxa"/>
            <w:tcBorders>
              <w:top w:val="single" w:color="000000" w:sz="4" w:space="0"/>
              <w:left w:val="single" w:color="000000" w:sz="4" w:space="0"/>
              <w:bottom w:val="single" w:color="000000" w:sz="4" w:space="0"/>
              <w:right w:val="single" w:color="000000" w:sz="4" w:space="0"/>
            </w:tcBorders>
            <w:vAlign w:val="center"/>
          </w:tcPr>
          <w:p>
            <w:pPr>
              <w:jc w:val="center"/>
            </w:pPr>
            <w:r>
              <w:t>19</w:t>
            </w:r>
          </w:p>
        </w:tc>
        <w:tc>
          <w:tcPr>
            <w:tcW w:w="2125" w:type="dxa"/>
            <w:tcBorders>
              <w:top w:val="single" w:color="000000" w:sz="4" w:space="0"/>
              <w:left w:val="single" w:color="000000" w:sz="4" w:space="0"/>
              <w:bottom w:val="single" w:color="000000" w:sz="4" w:space="0"/>
              <w:right w:val="double" w:color="000000" w:sz="4" w:space="0"/>
            </w:tcBorders>
          </w:tcPr>
          <w:p>
            <w:pPr>
              <w:jc w:val="center"/>
            </w:pPr>
            <w:r>
              <w:t>105</w:t>
            </w:r>
          </w:p>
        </w:tc>
      </w:tr>
      <w:tr>
        <w:tblPrEx>
          <w:tblCellMar>
            <w:top w:w="0" w:type="dxa"/>
            <w:left w:w="108" w:type="dxa"/>
            <w:bottom w:w="0" w:type="dxa"/>
            <w:right w:w="108" w:type="dxa"/>
          </w:tblCellMar>
        </w:tblPrEx>
        <w:trPr>
          <w:trHeight w:val="428" w:hRule="atLeast"/>
          <w:jc w:val="center"/>
        </w:trPr>
        <w:tc>
          <w:tcPr>
            <w:tcW w:w="948" w:type="dxa"/>
            <w:tcBorders>
              <w:top w:val="single" w:color="000000" w:sz="4" w:space="0"/>
              <w:left w:val="double" w:color="000000" w:sz="4" w:space="0"/>
              <w:bottom w:val="single" w:color="000000" w:sz="4" w:space="0"/>
              <w:right w:val="single" w:color="000000" w:sz="4" w:space="0"/>
            </w:tcBorders>
          </w:tcPr>
          <w:p>
            <w:r>
              <w:t>3.</w:t>
            </w:r>
          </w:p>
        </w:tc>
        <w:tc>
          <w:tcPr>
            <w:tcW w:w="4817" w:type="dxa"/>
            <w:tcBorders>
              <w:top w:val="single" w:color="000000" w:sz="4" w:space="0"/>
              <w:left w:val="single" w:color="000000" w:sz="4" w:space="0"/>
              <w:bottom w:val="single" w:color="000000" w:sz="4" w:space="0"/>
              <w:right w:val="single" w:color="000000" w:sz="4" w:space="0"/>
            </w:tcBorders>
          </w:tcPr>
          <w:p>
            <w:pPr>
              <w:rPr>
                <w:b/>
                <w:lang w:val="sr-Latn-ME"/>
              </w:rPr>
            </w:pPr>
            <w:r>
              <w:rPr>
                <w:b/>
                <w:lang w:val="sr-Latn-ME"/>
              </w:rPr>
              <w:t>Kulturno zabavne manifestacije</w:t>
            </w:r>
          </w:p>
        </w:tc>
        <w:tc>
          <w:tcPr>
            <w:tcW w:w="863" w:type="dxa"/>
            <w:tcBorders>
              <w:top w:val="single" w:color="000000" w:sz="4" w:space="0"/>
              <w:left w:val="single" w:color="000000" w:sz="4" w:space="0"/>
              <w:bottom w:val="single" w:color="000000" w:sz="4" w:space="0"/>
              <w:right w:val="single" w:color="000000" w:sz="4" w:space="0"/>
            </w:tcBorders>
            <w:vAlign w:val="center"/>
          </w:tcPr>
          <w:p>
            <w:pPr>
              <w:jc w:val="center"/>
            </w:pPr>
            <w:r>
              <w:t>7</w:t>
            </w:r>
          </w:p>
        </w:tc>
        <w:tc>
          <w:tcPr>
            <w:tcW w:w="849" w:type="dxa"/>
            <w:tcBorders>
              <w:top w:val="single" w:color="000000" w:sz="4" w:space="0"/>
              <w:left w:val="single" w:color="000000" w:sz="4" w:space="0"/>
              <w:bottom w:val="single" w:color="000000" w:sz="4" w:space="0"/>
              <w:right w:val="single" w:color="000000" w:sz="4" w:space="0"/>
            </w:tcBorders>
            <w:vAlign w:val="center"/>
          </w:tcPr>
          <w:p>
            <w:pPr>
              <w:jc w:val="center"/>
              <w:rPr>
                <w:b/>
              </w:rPr>
            </w:pPr>
            <w:r>
              <w:rPr>
                <w:b/>
              </w:rPr>
              <w:t>28</w:t>
            </w:r>
          </w:p>
        </w:tc>
        <w:tc>
          <w:tcPr>
            <w:tcW w:w="2125" w:type="dxa"/>
            <w:tcBorders>
              <w:top w:val="single" w:color="000000" w:sz="4" w:space="0"/>
              <w:left w:val="single" w:color="000000" w:sz="4" w:space="0"/>
              <w:bottom w:val="single" w:color="000000" w:sz="4" w:space="0"/>
              <w:right w:val="double" w:color="000000" w:sz="4" w:space="0"/>
            </w:tcBorders>
          </w:tcPr>
          <w:p>
            <w:pPr>
              <w:jc w:val="center"/>
              <w:rPr>
                <w:rFonts w:cs="Calibri"/>
                <w:b/>
              </w:rPr>
            </w:pPr>
            <w:r>
              <w:rPr>
                <w:rFonts w:cs="Calibri"/>
                <w:b/>
              </w:rPr>
              <w:t>400</w:t>
            </w:r>
          </w:p>
        </w:tc>
      </w:tr>
      <w:tr>
        <w:tblPrEx>
          <w:tblCellMar>
            <w:top w:w="0" w:type="dxa"/>
            <w:left w:w="108" w:type="dxa"/>
            <w:bottom w:w="0" w:type="dxa"/>
            <w:right w:w="108" w:type="dxa"/>
          </w:tblCellMar>
        </w:tblPrEx>
        <w:trPr>
          <w:trHeight w:val="428" w:hRule="atLeast"/>
          <w:jc w:val="center"/>
        </w:trPr>
        <w:tc>
          <w:tcPr>
            <w:tcW w:w="948" w:type="dxa"/>
            <w:tcBorders>
              <w:top w:val="single" w:color="000000" w:sz="4" w:space="0"/>
              <w:left w:val="double" w:color="000000" w:sz="4" w:space="0"/>
              <w:bottom w:val="single" w:color="000000" w:sz="4" w:space="0"/>
              <w:right w:val="single" w:color="000000" w:sz="4" w:space="0"/>
            </w:tcBorders>
          </w:tcPr>
          <w:p>
            <w:pPr>
              <w:jc w:val="right"/>
            </w:pPr>
            <w:r>
              <w:t>3.1.</w:t>
            </w:r>
          </w:p>
        </w:tc>
        <w:tc>
          <w:tcPr>
            <w:tcW w:w="4817" w:type="dxa"/>
            <w:tcBorders>
              <w:top w:val="single" w:color="000000" w:sz="4" w:space="0"/>
              <w:left w:val="single" w:color="000000" w:sz="4" w:space="0"/>
              <w:bottom w:val="single" w:color="000000" w:sz="4" w:space="0"/>
              <w:right w:val="single" w:color="000000" w:sz="4" w:space="0"/>
            </w:tcBorders>
          </w:tcPr>
          <w:p>
            <w:pPr>
              <w:rPr>
                <w:lang w:val="sr-Latn-ME"/>
              </w:rPr>
            </w:pPr>
            <w:r>
              <w:rPr>
                <w:lang w:val="sr-Latn-ME"/>
              </w:rPr>
              <w:t>Muzički koncerti, ples i cirkus</w:t>
            </w:r>
          </w:p>
        </w:tc>
        <w:tc>
          <w:tcPr>
            <w:tcW w:w="863" w:type="dxa"/>
            <w:tcBorders>
              <w:top w:val="single" w:color="000000" w:sz="4" w:space="0"/>
              <w:left w:val="single" w:color="000000" w:sz="4" w:space="0"/>
              <w:bottom w:val="single" w:color="000000" w:sz="4" w:space="0"/>
              <w:right w:val="single" w:color="000000" w:sz="4" w:space="0"/>
            </w:tcBorders>
            <w:vAlign w:val="center"/>
          </w:tcPr>
          <w:p>
            <w:pPr>
              <w:jc w:val="center"/>
            </w:pPr>
            <w:r>
              <w:t>7</w:t>
            </w:r>
          </w:p>
        </w:tc>
        <w:tc>
          <w:tcPr>
            <w:tcW w:w="849" w:type="dxa"/>
            <w:tcBorders>
              <w:top w:val="single" w:color="000000" w:sz="4" w:space="0"/>
              <w:left w:val="single" w:color="000000" w:sz="4" w:space="0"/>
              <w:bottom w:val="single" w:color="000000" w:sz="4" w:space="0"/>
              <w:right w:val="single" w:color="000000" w:sz="4" w:space="0"/>
            </w:tcBorders>
            <w:vAlign w:val="center"/>
          </w:tcPr>
          <w:p>
            <w:pPr>
              <w:jc w:val="center"/>
            </w:pPr>
            <w:r>
              <w:t>28</w:t>
            </w:r>
          </w:p>
        </w:tc>
        <w:tc>
          <w:tcPr>
            <w:tcW w:w="2125" w:type="dxa"/>
            <w:tcBorders>
              <w:top w:val="single" w:color="000000" w:sz="4" w:space="0"/>
              <w:left w:val="single" w:color="000000" w:sz="4" w:space="0"/>
              <w:bottom w:val="single" w:color="000000" w:sz="4" w:space="0"/>
              <w:right w:val="double" w:color="000000" w:sz="4" w:space="0"/>
            </w:tcBorders>
          </w:tcPr>
          <w:p>
            <w:pPr>
              <w:jc w:val="center"/>
              <w:rPr>
                <w:rFonts w:cs="Calibri"/>
              </w:rPr>
            </w:pPr>
            <w:r>
              <w:rPr>
                <w:rFonts w:cs="Calibri"/>
              </w:rPr>
              <w:t>400</w:t>
            </w:r>
          </w:p>
        </w:tc>
      </w:tr>
      <w:tr>
        <w:tblPrEx>
          <w:tblCellMar>
            <w:top w:w="0" w:type="dxa"/>
            <w:left w:w="108" w:type="dxa"/>
            <w:bottom w:w="0" w:type="dxa"/>
            <w:right w:w="108" w:type="dxa"/>
          </w:tblCellMar>
        </w:tblPrEx>
        <w:trPr>
          <w:trHeight w:val="428" w:hRule="atLeast"/>
          <w:jc w:val="center"/>
        </w:trPr>
        <w:tc>
          <w:tcPr>
            <w:tcW w:w="948" w:type="dxa"/>
            <w:tcBorders>
              <w:top w:val="single" w:color="000000" w:sz="4" w:space="0"/>
              <w:left w:val="double" w:color="000000" w:sz="4" w:space="0"/>
              <w:bottom w:val="single" w:color="000000" w:sz="4" w:space="0"/>
              <w:right w:val="single" w:color="000000" w:sz="4" w:space="0"/>
            </w:tcBorders>
          </w:tcPr>
          <w:p>
            <w:pPr>
              <w:jc w:val="center"/>
            </w:pPr>
            <w:r>
              <w:t>II</w:t>
            </w:r>
          </w:p>
        </w:tc>
        <w:tc>
          <w:tcPr>
            <w:tcW w:w="4817" w:type="dxa"/>
            <w:tcBorders>
              <w:top w:val="single" w:color="000000" w:sz="4" w:space="0"/>
              <w:left w:val="single" w:color="000000" w:sz="4" w:space="0"/>
              <w:bottom w:val="single" w:color="000000" w:sz="4" w:space="0"/>
              <w:right w:val="single" w:color="000000" w:sz="4" w:space="0"/>
            </w:tcBorders>
          </w:tcPr>
          <w:p>
            <w:pPr>
              <w:jc w:val="center"/>
              <w:rPr>
                <w:b/>
                <w:lang w:val="sr-Latn-ME"/>
              </w:rPr>
            </w:pPr>
            <w:r>
              <w:rPr>
                <w:b/>
                <w:lang w:val="sr-Latn-ME"/>
              </w:rPr>
              <w:t>POMOĆNA DVORANA</w:t>
            </w:r>
          </w:p>
        </w:tc>
        <w:tc>
          <w:tcPr>
            <w:tcW w:w="863" w:type="dxa"/>
            <w:tcBorders>
              <w:top w:val="single" w:color="000000" w:sz="4" w:space="0"/>
              <w:left w:val="single" w:color="000000" w:sz="4" w:space="0"/>
              <w:bottom w:val="single" w:color="000000" w:sz="4" w:space="0"/>
              <w:right w:val="single" w:color="000000" w:sz="4" w:space="0"/>
            </w:tcBorders>
            <w:vAlign w:val="center"/>
          </w:tcPr>
          <w:p>
            <w:pPr>
              <w:jc w:val="center"/>
              <w:rPr>
                <w:b/>
              </w:rPr>
            </w:pPr>
            <w:r>
              <w:rPr>
                <w:b/>
              </w:rPr>
              <w:t>1.120</w:t>
            </w:r>
          </w:p>
        </w:tc>
        <w:tc>
          <w:tcPr>
            <w:tcW w:w="849" w:type="dxa"/>
            <w:tcBorders>
              <w:top w:val="single" w:color="000000" w:sz="4" w:space="0"/>
              <w:left w:val="single" w:color="000000" w:sz="4" w:space="0"/>
              <w:bottom w:val="single" w:color="000000" w:sz="4" w:space="0"/>
              <w:right w:val="single" w:color="000000" w:sz="4" w:space="0"/>
            </w:tcBorders>
            <w:vAlign w:val="center"/>
          </w:tcPr>
          <w:p>
            <w:pPr>
              <w:jc w:val="center"/>
            </w:pPr>
            <w:r>
              <w:rPr>
                <w:b/>
              </w:rPr>
              <w:t>1.918</w:t>
            </w:r>
          </w:p>
        </w:tc>
        <w:tc>
          <w:tcPr>
            <w:tcW w:w="2125" w:type="dxa"/>
            <w:tcBorders>
              <w:top w:val="single" w:color="000000" w:sz="4" w:space="0"/>
              <w:left w:val="single" w:color="000000" w:sz="4" w:space="0"/>
              <w:bottom w:val="single" w:color="000000" w:sz="4" w:space="0"/>
              <w:right w:val="double" w:color="000000" w:sz="4" w:space="0"/>
            </w:tcBorders>
          </w:tcPr>
          <w:p>
            <w:pPr>
              <w:jc w:val="center"/>
              <w:rPr>
                <w:b/>
              </w:rPr>
            </w:pPr>
            <w:r>
              <w:rPr>
                <w:b/>
              </w:rPr>
              <w:t>171</w:t>
            </w:r>
          </w:p>
        </w:tc>
      </w:tr>
      <w:tr>
        <w:tblPrEx>
          <w:tblCellMar>
            <w:top w:w="0" w:type="dxa"/>
            <w:left w:w="108" w:type="dxa"/>
            <w:bottom w:w="0" w:type="dxa"/>
            <w:right w:w="108" w:type="dxa"/>
          </w:tblCellMar>
        </w:tblPrEx>
        <w:trPr>
          <w:trHeight w:val="568" w:hRule="atLeast"/>
          <w:jc w:val="center"/>
        </w:trPr>
        <w:tc>
          <w:tcPr>
            <w:tcW w:w="948" w:type="dxa"/>
            <w:tcBorders>
              <w:top w:val="single" w:color="000000" w:sz="4" w:space="0"/>
              <w:left w:val="double" w:color="000000" w:sz="4" w:space="0"/>
              <w:bottom w:val="double" w:color="000000" w:sz="4" w:space="0"/>
              <w:right w:val="single" w:color="000000" w:sz="4" w:space="0"/>
            </w:tcBorders>
          </w:tcPr>
          <w:p>
            <w:r>
              <w:t>1.</w:t>
            </w:r>
          </w:p>
        </w:tc>
        <w:tc>
          <w:tcPr>
            <w:tcW w:w="4817" w:type="dxa"/>
            <w:tcBorders>
              <w:top w:val="single" w:color="000000" w:sz="4" w:space="0"/>
              <w:left w:val="single" w:color="000000" w:sz="4" w:space="0"/>
              <w:bottom w:val="double" w:color="000000" w:sz="4" w:space="0"/>
              <w:right w:val="single" w:color="000000" w:sz="4" w:space="0"/>
            </w:tcBorders>
          </w:tcPr>
          <w:p>
            <w:pPr>
              <w:rPr>
                <w:lang w:val="sr-Latn-ME"/>
              </w:rPr>
            </w:pPr>
            <w:r>
              <w:rPr>
                <w:lang w:val="sr-Latn-ME"/>
              </w:rPr>
              <w:t>Olimpijski program sportova za održavanje treninga i rekreacija</w:t>
            </w:r>
          </w:p>
        </w:tc>
        <w:tc>
          <w:tcPr>
            <w:tcW w:w="863" w:type="dxa"/>
            <w:tcBorders>
              <w:top w:val="single" w:color="000000" w:sz="4" w:space="0"/>
              <w:left w:val="single" w:color="000000" w:sz="4" w:space="0"/>
              <w:bottom w:val="double" w:color="000000" w:sz="4" w:space="0"/>
              <w:right w:val="single" w:color="000000" w:sz="4" w:space="0"/>
            </w:tcBorders>
            <w:vAlign w:val="center"/>
          </w:tcPr>
          <w:p>
            <w:pPr>
              <w:jc w:val="center"/>
            </w:pPr>
            <w:r>
              <w:t>1.120</w:t>
            </w:r>
          </w:p>
        </w:tc>
        <w:tc>
          <w:tcPr>
            <w:tcW w:w="849" w:type="dxa"/>
            <w:tcBorders>
              <w:top w:val="single" w:color="000000" w:sz="4" w:space="0"/>
              <w:left w:val="single" w:color="000000" w:sz="4" w:space="0"/>
              <w:bottom w:val="double" w:color="000000" w:sz="4" w:space="0"/>
              <w:right w:val="single" w:color="000000" w:sz="4" w:space="0"/>
            </w:tcBorders>
            <w:vAlign w:val="center"/>
          </w:tcPr>
          <w:p>
            <w:pPr>
              <w:jc w:val="center"/>
            </w:pPr>
            <w:r>
              <w:t>1.918</w:t>
            </w:r>
          </w:p>
        </w:tc>
        <w:tc>
          <w:tcPr>
            <w:tcW w:w="2125" w:type="dxa"/>
            <w:tcBorders>
              <w:top w:val="single" w:color="000000" w:sz="4" w:space="0"/>
              <w:left w:val="single" w:color="000000" w:sz="4" w:space="0"/>
              <w:bottom w:val="double" w:color="000000" w:sz="4" w:space="0"/>
              <w:right w:val="double" w:color="000000" w:sz="4" w:space="0"/>
            </w:tcBorders>
            <w:vAlign w:val="center"/>
          </w:tcPr>
          <w:p>
            <w:pPr>
              <w:jc w:val="center"/>
            </w:pPr>
            <w:r>
              <w:t>171</w:t>
            </w:r>
          </w:p>
        </w:tc>
      </w:tr>
      <w:tr>
        <w:tblPrEx>
          <w:tblCellMar>
            <w:top w:w="0" w:type="dxa"/>
            <w:left w:w="108" w:type="dxa"/>
            <w:bottom w:w="0" w:type="dxa"/>
            <w:right w:w="108" w:type="dxa"/>
          </w:tblCellMar>
        </w:tblPrEx>
        <w:trPr>
          <w:trHeight w:val="481" w:hRule="atLeast"/>
          <w:jc w:val="center"/>
        </w:trPr>
        <w:tc>
          <w:tcPr>
            <w:tcW w:w="5765" w:type="dxa"/>
            <w:gridSpan w:val="2"/>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rPr>
                <w:b/>
                <w:lang w:val="sr-Latn-ME"/>
              </w:rPr>
            </w:pPr>
            <w:r>
              <w:rPr>
                <w:b/>
                <w:lang w:val="sr-Latn-ME"/>
              </w:rPr>
              <w:t>Ukupno sati korišćenja sportske dvorane</w:t>
            </w:r>
          </w:p>
        </w:tc>
        <w:tc>
          <w:tcPr>
            <w:tcW w:w="863"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rPr>
                <w:b/>
              </w:rPr>
            </w:pPr>
            <w:r>
              <w:rPr>
                <w:b/>
              </w:rPr>
              <w:t>3.022</w:t>
            </w:r>
          </w:p>
        </w:tc>
        <w:tc>
          <w:tcPr>
            <w:tcW w:w="849"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pPr>
            <w:r>
              <w:rPr>
                <w:b/>
              </w:rPr>
              <w:t>4.515</w:t>
            </w:r>
          </w:p>
        </w:tc>
        <w:tc>
          <w:tcPr>
            <w:tcW w:w="2125"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rPr>
                <w:b/>
              </w:rPr>
            </w:pPr>
            <w:r>
              <w:rPr>
                <w:b/>
              </w:rPr>
              <w:t>149</w:t>
            </w:r>
          </w:p>
        </w:tc>
      </w:tr>
    </w:tbl>
    <w:p>
      <w:pPr>
        <w:jc w:val="both"/>
        <w:rPr>
          <w:sz w:val="26"/>
          <w:szCs w:val="26"/>
        </w:rPr>
      </w:pPr>
    </w:p>
    <w:p>
      <w:pPr>
        <w:ind w:firstLine="652"/>
        <w:jc w:val="both"/>
        <w:rPr>
          <w:iCs/>
          <w:sz w:val="24"/>
          <w:szCs w:val="24"/>
          <w:lang w:val="sr-Latn-ME"/>
        </w:rPr>
      </w:pPr>
      <w:r>
        <w:rPr>
          <w:iCs/>
          <w:sz w:val="24"/>
          <w:szCs w:val="24"/>
          <w:lang w:val="sr-Latn-ME"/>
        </w:rPr>
        <w:t>Sati korištenja velike i pomoćne dvorane, veći su od prošlogodišnjih za 37 % odnosno za 71 %,  pa su i ostvareni prihodi velike i pomoćne dvorane veći od  prošlogodišnjih.</w:t>
      </w:r>
    </w:p>
    <w:p>
      <w:pPr>
        <w:ind w:firstLine="720"/>
        <w:jc w:val="center"/>
        <w:rPr>
          <w:sz w:val="20"/>
          <w:szCs w:val="20"/>
        </w:rPr>
      </w:pPr>
      <w:r>
        <w:rPr>
          <w:i/>
          <w:sz w:val="20"/>
          <w:szCs w:val="20"/>
          <w:lang w:val="sr-Latn-ME"/>
        </w:rPr>
        <w:t>Slika br</w:t>
      </w:r>
      <w:r>
        <w:rPr>
          <w:i/>
          <w:sz w:val="20"/>
          <w:szCs w:val="20"/>
        </w:rPr>
        <w:t>.</w:t>
      </w:r>
      <w:r>
        <w:rPr>
          <w:i/>
          <w:sz w:val="20"/>
          <w:szCs w:val="20"/>
          <w:lang w:val="sr-Latn-ME"/>
        </w:rPr>
        <w:t>2</w:t>
      </w:r>
      <w:r>
        <w:rPr>
          <w:i/>
          <w:sz w:val="20"/>
          <w:szCs w:val="20"/>
        </w:rPr>
        <w:t xml:space="preserve">: </w:t>
      </w:r>
      <w:r>
        <w:rPr>
          <w:i/>
          <w:sz w:val="20"/>
          <w:szCs w:val="20"/>
          <w:lang w:val="sr-Latn-ME"/>
        </w:rPr>
        <w:t>Sportska dvorana J.P. “Sportski centar Nikšić”</w:t>
      </w:r>
    </w:p>
    <w:p>
      <w:pPr>
        <w:ind w:firstLine="652"/>
        <w:jc w:val="center"/>
        <w:rPr>
          <w:iCs/>
          <w:sz w:val="24"/>
          <w:szCs w:val="24"/>
          <w:lang w:val="sr-Latn-ME"/>
        </w:rPr>
      </w:pPr>
      <w:r>
        <w:drawing>
          <wp:inline distT="0" distB="0" distL="0" distR="0">
            <wp:extent cx="5475605" cy="2026285"/>
            <wp:effectExtent l="0" t="0" r="0" b="0"/>
            <wp:docPr id="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8"/>
                    <pic:cNvPicPr>
                      <a:picLocks noChangeAspect="1" noChangeArrowheads="1"/>
                    </pic:cNvPicPr>
                  </pic:nvPicPr>
                  <pic:blipFill>
                    <a:blip r:embed="rId13"/>
                    <a:stretch>
                      <a:fillRect/>
                    </a:stretch>
                  </pic:blipFill>
                  <pic:spPr>
                    <a:xfrm>
                      <a:off x="0" y="0"/>
                      <a:ext cx="5475605" cy="2026285"/>
                    </a:xfrm>
                    <a:prstGeom prst="rect">
                      <a:avLst/>
                    </a:prstGeom>
                  </pic:spPr>
                </pic:pic>
              </a:graphicData>
            </a:graphic>
          </wp:inline>
        </w:drawing>
      </w:r>
    </w:p>
    <w:p>
      <w:pPr>
        <w:ind w:firstLine="652"/>
        <w:jc w:val="both"/>
        <w:rPr>
          <w:iCs/>
          <w:sz w:val="24"/>
          <w:szCs w:val="24"/>
          <w:lang w:val="sr-Latn-ME"/>
        </w:rPr>
      </w:pPr>
    </w:p>
    <w:p>
      <w:pPr>
        <w:ind w:firstLine="652"/>
        <w:jc w:val="both"/>
        <w:rPr>
          <w:iCs/>
          <w:sz w:val="24"/>
          <w:szCs w:val="24"/>
          <w:lang w:val="sr-Latn-ME"/>
        </w:rPr>
      </w:pPr>
      <w:r>
        <w:rPr>
          <w:iCs/>
          <w:sz w:val="24"/>
          <w:szCs w:val="24"/>
          <w:lang w:val="sr-Latn-ME"/>
        </w:rPr>
        <w:t>U velikoj sportskoj dvorani preduzimane su, radi obezbjeđenja kvalitetnih uslova korištenja sportskih sadržaja, bezbjednosti korisnika, čistoći i tekućoj ispravnosti instalacija i uređaja, kao i prethodnih godina sljedeće aktivnosti:</w:t>
      </w:r>
    </w:p>
    <w:p>
      <w:pPr>
        <w:ind w:firstLine="652"/>
        <w:jc w:val="both"/>
        <w:rPr>
          <w:iCs/>
          <w:sz w:val="24"/>
          <w:szCs w:val="24"/>
          <w:lang w:val="sr-Latn-ME"/>
        </w:rPr>
      </w:pPr>
      <w:r>
        <w:rPr>
          <w:iCs/>
          <w:sz w:val="24"/>
          <w:szCs w:val="24"/>
          <w:lang w:val="sr-Latn-ME"/>
        </w:rPr>
        <w:t>•</w:t>
      </w:r>
      <w:r>
        <w:rPr>
          <w:rFonts w:eastAsia="Calibri" w:cs="Calibri"/>
          <w:iCs/>
          <w:sz w:val="24"/>
          <w:szCs w:val="24"/>
          <w:lang w:val="sr-Latn-ME"/>
        </w:rPr>
        <w:t xml:space="preserve"> </w:t>
      </w:r>
      <w:r>
        <w:rPr>
          <w:iCs/>
          <w:sz w:val="24"/>
          <w:szCs w:val="24"/>
          <w:lang w:val="sr-Latn-ME"/>
        </w:rPr>
        <w:t>preventivno i korektivno održavanje postrojenja elektroinstalacija, rasvjete</w:t>
      </w:r>
    </w:p>
    <w:p>
      <w:pPr>
        <w:ind w:firstLine="652"/>
        <w:jc w:val="both"/>
        <w:rPr>
          <w:sz w:val="24"/>
          <w:szCs w:val="24"/>
          <w:lang w:val="sr-Latn-ME"/>
        </w:rPr>
      </w:pPr>
      <w:r>
        <w:rPr>
          <w:iCs/>
          <w:sz w:val="24"/>
          <w:szCs w:val="24"/>
          <w:lang w:val="sr-Latn-ME"/>
        </w:rPr>
        <w:t xml:space="preserve">   i PP</w:t>
      </w:r>
      <w:r>
        <w:rPr>
          <w:sz w:val="24"/>
          <w:szCs w:val="24"/>
          <w:lang w:val="sr-Latn-ME"/>
        </w:rPr>
        <w:t xml:space="preserve"> </w:t>
      </w:r>
      <w:r>
        <w:rPr>
          <w:iCs/>
          <w:sz w:val="24"/>
          <w:szCs w:val="24"/>
          <w:lang w:val="sr-Latn-ME"/>
        </w:rPr>
        <w:t>sistema, mašinskih i vodovodnih instalacija, klimatizacije i grijanja;</w:t>
      </w:r>
    </w:p>
    <w:p>
      <w:pPr>
        <w:ind w:firstLine="652"/>
        <w:jc w:val="both"/>
        <w:rPr>
          <w:iCs/>
          <w:sz w:val="24"/>
          <w:szCs w:val="24"/>
          <w:lang w:val="sr-Latn-ME"/>
        </w:rPr>
      </w:pPr>
      <w:r>
        <w:rPr>
          <w:iCs/>
          <w:sz w:val="24"/>
          <w:szCs w:val="24"/>
          <w:lang w:val="sr-Latn-ME"/>
        </w:rPr>
        <w:t>•</w:t>
      </w:r>
      <w:r>
        <w:rPr>
          <w:rFonts w:eastAsia="Calibri" w:cs="Calibri"/>
          <w:iCs/>
          <w:sz w:val="24"/>
          <w:szCs w:val="24"/>
          <w:lang w:val="sr-Latn-ME"/>
        </w:rPr>
        <w:t xml:space="preserve"> </w:t>
      </w:r>
      <w:r>
        <w:rPr>
          <w:iCs/>
          <w:sz w:val="24"/>
          <w:szCs w:val="24"/>
          <w:lang w:val="sr-Latn-ME"/>
        </w:rPr>
        <w:t>građevinsko i zanatsko održavanje objekata i sportskih rekvizita…</w:t>
      </w:r>
    </w:p>
    <w:p>
      <w:pPr>
        <w:jc w:val="both"/>
        <w:rPr>
          <w:sz w:val="26"/>
          <w:szCs w:val="26"/>
          <w:lang w:val="sr-Latn-ME"/>
        </w:rPr>
      </w:pPr>
    </w:p>
    <w:p>
      <w:pPr>
        <w:ind w:firstLine="720"/>
        <w:jc w:val="both"/>
        <w:rPr>
          <w:sz w:val="24"/>
          <w:szCs w:val="24"/>
          <w:lang w:val="sr-Latn-ME"/>
        </w:rPr>
      </w:pPr>
      <w:r>
        <w:rPr>
          <w:sz w:val="24"/>
          <w:szCs w:val="24"/>
          <w:lang w:val="sr-Latn-ME"/>
        </w:rPr>
        <w:t>Prihodi i rashodi dvorane sa pratećim sadržajima su:</w:t>
      </w:r>
    </w:p>
    <w:p>
      <w:pPr>
        <w:jc w:val="center"/>
        <w:rPr>
          <w:i/>
          <w:sz w:val="20"/>
          <w:szCs w:val="20"/>
        </w:rPr>
      </w:pPr>
      <w:r>
        <w:rPr>
          <w:i/>
          <w:sz w:val="20"/>
          <w:szCs w:val="20"/>
        </w:rPr>
        <w:t xml:space="preserve">Tabela 2.2.1.: Ostavreni prihodi sportske dvorane u 2023. godini </w:t>
      </w:r>
    </w:p>
    <w:tbl>
      <w:tblPr>
        <w:tblStyle w:val="7"/>
        <w:tblW w:w="10057" w:type="dxa"/>
        <w:jc w:val="center"/>
        <w:tblLayout w:type="fixed"/>
        <w:tblCellMar>
          <w:top w:w="0" w:type="dxa"/>
          <w:left w:w="108" w:type="dxa"/>
          <w:bottom w:w="0" w:type="dxa"/>
          <w:right w:w="108" w:type="dxa"/>
        </w:tblCellMar>
      </w:tblPr>
      <w:tblGrid>
        <w:gridCol w:w="991"/>
        <w:gridCol w:w="7431"/>
        <w:gridCol w:w="1635"/>
      </w:tblGrid>
      <w:tr>
        <w:tblPrEx>
          <w:tblCellMar>
            <w:top w:w="0" w:type="dxa"/>
            <w:left w:w="108" w:type="dxa"/>
            <w:bottom w:w="0" w:type="dxa"/>
            <w:right w:w="108" w:type="dxa"/>
          </w:tblCellMar>
        </w:tblPrEx>
        <w:trPr>
          <w:trHeight w:val="357" w:hRule="atLeast"/>
          <w:jc w:val="center"/>
        </w:trPr>
        <w:tc>
          <w:tcPr>
            <w:tcW w:w="991"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pPr>
            <w:r>
              <w:rPr>
                <w:b/>
                <w:sz w:val="20"/>
                <w:szCs w:val="20"/>
                <w:lang w:val="sr-Latn-ME"/>
              </w:rPr>
              <w:t>R</w:t>
            </w:r>
            <w:r>
              <w:rPr>
                <w:b/>
                <w:sz w:val="20"/>
                <w:szCs w:val="20"/>
              </w:rPr>
              <w:t xml:space="preserve">. </w:t>
            </w:r>
            <w:r>
              <w:rPr>
                <w:b/>
                <w:sz w:val="20"/>
                <w:szCs w:val="20"/>
                <w:lang w:val="sr-Latn-ME"/>
              </w:rPr>
              <w:t>br</w:t>
            </w:r>
            <w:r>
              <w:rPr>
                <w:b/>
                <w:sz w:val="20"/>
                <w:szCs w:val="20"/>
              </w:rPr>
              <w:t>.</w:t>
            </w:r>
          </w:p>
        </w:tc>
        <w:tc>
          <w:tcPr>
            <w:tcW w:w="7431" w:type="dxa"/>
            <w:tcBorders>
              <w:top w:val="double" w:color="000000" w:sz="4" w:space="0"/>
              <w:left w:val="double" w:color="000000" w:sz="4" w:space="0"/>
              <w:bottom w:val="double" w:color="000000" w:sz="4" w:space="0"/>
              <w:right w:val="double" w:color="000000" w:sz="4" w:space="0"/>
            </w:tcBorders>
            <w:shd w:val="clear" w:color="auto" w:fill="F2DCDC"/>
            <w:vAlign w:val="center"/>
          </w:tcPr>
          <w:p>
            <w:pPr>
              <w:ind w:firstLine="720"/>
              <w:jc w:val="center"/>
              <w:rPr>
                <w:b/>
                <w:sz w:val="20"/>
                <w:szCs w:val="20"/>
                <w:lang w:val="sr-Latn-ME"/>
              </w:rPr>
            </w:pPr>
            <w:r>
              <w:rPr>
                <w:b/>
                <w:sz w:val="20"/>
                <w:szCs w:val="20"/>
                <w:lang w:val="sr-Latn-ME"/>
              </w:rPr>
              <w:t>Opis</w:t>
            </w:r>
          </w:p>
        </w:tc>
        <w:tc>
          <w:tcPr>
            <w:tcW w:w="1635"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pPr>
            <w:r>
              <w:rPr>
                <w:b/>
                <w:sz w:val="20"/>
                <w:szCs w:val="20"/>
                <w:lang w:val="sr-Latn-ME"/>
              </w:rPr>
              <w:t>Iznos</w:t>
            </w:r>
            <w:r>
              <w:rPr>
                <w:b/>
                <w:sz w:val="20"/>
                <w:szCs w:val="20"/>
              </w:rPr>
              <w:t xml:space="preserve"> €</w:t>
            </w:r>
          </w:p>
        </w:tc>
      </w:tr>
      <w:tr>
        <w:tblPrEx>
          <w:tblCellMar>
            <w:top w:w="0" w:type="dxa"/>
            <w:left w:w="108" w:type="dxa"/>
            <w:bottom w:w="0" w:type="dxa"/>
            <w:right w:w="108" w:type="dxa"/>
          </w:tblCellMar>
        </w:tblPrEx>
        <w:trPr>
          <w:trHeight w:val="362" w:hRule="atLeast"/>
          <w:jc w:val="center"/>
        </w:trPr>
        <w:tc>
          <w:tcPr>
            <w:tcW w:w="991" w:type="dxa"/>
            <w:tcBorders>
              <w:top w:val="double" w:color="000000" w:sz="4" w:space="0"/>
              <w:left w:val="double" w:color="000000" w:sz="4" w:space="0"/>
              <w:bottom w:val="single" w:color="000000" w:sz="4" w:space="0"/>
              <w:right w:val="single" w:color="000000" w:sz="4" w:space="0"/>
            </w:tcBorders>
            <w:shd w:val="clear" w:color="auto" w:fill="FFFFFF"/>
          </w:tcPr>
          <w:p>
            <w:pPr>
              <w:jc w:val="both"/>
              <w:rPr>
                <w:sz w:val="20"/>
                <w:szCs w:val="20"/>
              </w:rPr>
            </w:pPr>
            <w:r>
              <w:rPr>
                <w:sz w:val="20"/>
                <w:szCs w:val="20"/>
              </w:rPr>
              <w:t>1.</w:t>
            </w:r>
          </w:p>
        </w:tc>
        <w:tc>
          <w:tcPr>
            <w:tcW w:w="7431" w:type="dxa"/>
            <w:tcBorders>
              <w:top w:val="double" w:color="000000" w:sz="4" w:space="0"/>
              <w:left w:val="single" w:color="000000" w:sz="4" w:space="0"/>
              <w:bottom w:val="single" w:color="000000" w:sz="4" w:space="0"/>
              <w:right w:val="single" w:color="000000" w:sz="4" w:space="0"/>
            </w:tcBorders>
            <w:shd w:val="clear" w:color="auto" w:fill="FFFFFF"/>
          </w:tcPr>
          <w:p>
            <w:pPr>
              <w:rPr>
                <w:sz w:val="20"/>
                <w:szCs w:val="20"/>
                <w:lang w:val="sr-Latn-ME"/>
              </w:rPr>
            </w:pPr>
            <w:r>
              <w:rPr>
                <w:sz w:val="20"/>
                <w:szCs w:val="20"/>
                <w:lang w:val="sr-Latn-ME"/>
              </w:rPr>
              <w:t>Prihodi od izdavanja sportske dvorane</w:t>
            </w:r>
          </w:p>
        </w:tc>
        <w:tc>
          <w:tcPr>
            <w:tcW w:w="1635" w:type="dxa"/>
            <w:tcBorders>
              <w:top w:val="double" w:color="000000" w:sz="4" w:space="0"/>
              <w:left w:val="single" w:color="000000" w:sz="4" w:space="0"/>
              <w:bottom w:val="single" w:color="000000" w:sz="4" w:space="0"/>
              <w:right w:val="double" w:color="000000" w:sz="4" w:space="0"/>
            </w:tcBorders>
            <w:shd w:val="clear" w:color="auto" w:fill="FFFFFF"/>
          </w:tcPr>
          <w:p>
            <w:pPr>
              <w:jc w:val="right"/>
            </w:pPr>
            <w:r>
              <w:rPr>
                <w:sz w:val="20"/>
                <w:szCs w:val="20"/>
              </w:rPr>
              <w:t>200.262,96</w:t>
            </w:r>
          </w:p>
        </w:tc>
      </w:tr>
      <w:tr>
        <w:tblPrEx>
          <w:tblCellMar>
            <w:top w:w="0" w:type="dxa"/>
            <w:left w:w="108" w:type="dxa"/>
            <w:bottom w:w="0" w:type="dxa"/>
            <w:right w:w="108" w:type="dxa"/>
          </w:tblCellMar>
        </w:tblPrEx>
        <w:trPr>
          <w:trHeight w:val="347" w:hRule="atLeast"/>
          <w:jc w:val="center"/>
        </w:trPr>
        <w:tc>
          <w:tcPr>
            <w:tcW w:w="991" w:type="dxa"/>
            <w:tcBorders>
              <w:top w:val="single" w:color="000000" w:sz="4" w:space="0"/>
              <w:left w:val="double" w:color="000000" w:sz="4" w:space="0"/>
              <w:bottom w:val="single" w:color="000000" w:sz="4" w:space="0"/>
              <w:right w:val="single" w:color="000000" w:sz="4" w:space="0"/>
            </w:tcBorders>
            <w:shd w:val="clear" w:color="auto" w:fill="FFFFFF"/>
          </w:tcPr>
          <w:p>
            <w:pPr>
              <w:jc w:val="both"/>
              <w:rPr>
                <w:sz w:val="20"/>
                <w:szCs w:val="20"/>
              </w:rPr>
            </w:pPr>
            <w:r>
              <w:rPr>
                <w:sz w:val="20"/>
                <w:szCs w:val="20"/>
              </w:rPr>
              <w:t>2.</w:t>
            </w:r>
          </w:p>
        </w:tc>
        <w:tc>
          <w:tcPr>
            <w:tcW w:w="7431"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lang w:val="sr-Latn-ME"/>
              </w:rPr>
            </w:pPr>
            <w:r>
              <w:rPr>
                <w:sz w:val="20"/>
                <w:szCs w:val="20"/>
                <w:lang w:val="sr-Latn-ME"/>
              </w:rPr>
              <w:t>Prihodi od izdavanja bazena</w:t>
            </w:r>
          </w:p>
        </w:tc>
        <w:tc>
          <w:tcPr>
            <w:tcW w:w="1635" w:type="dxa"/>
            <w:tcBorders>
              <w:top w:val="single" w:color="000000" w:sz="4" w:space="0"/>
              <w:left w:val="single" w:color="000000" w:sz="4" w:space="0"/>
              <w:bottom w:val="single" w:color="000000" w:sz="4" w:space="0"/>
              <w:right w:val="double" w:color="000000" w:sz="4" w:space="0"/>
            </w:tcBorders>
            <w:shd w:val="clear" w:color="auto" w:fill="FFFFFF"/>
          </w:tcPr>
          <w:p>
            <w:pPr>
              <w:jc w:val="right"/>
            </w:pPr>
            <w:r>
              <w:rPr>
                <w:sz w:val="20"/>
                <w:szCs w:val="20"/>
              </w:rPr>
              <w:t>93.387,89</w:t>
            </w:r>
          </w:p>
        </w:tc>
      </w:tr>
      <w:tr>
        <w:tblPrEx>
          <w:tblCellMar>
            <w:top w:w="0" w:type="dxa"/>
            <w:left w:w="108" w:type="dxa"/>
            <w:bottom w:w="0" w:type="dxa"/>
            <w:right w:w="108" w:type="dxa"/>
          </w:tblCellMar>
        </w:tblPrEx>
        <w:trPr>
          <w:trHeight w:val="286" w:hRule="atLeast"/>
          <w:jc w:val="center"/>
        </w:trPr>
        <w:tc>
          <w:tcPr>
            <w:tcW w:w="991" w:type="dxa"/>
            <w:tcBorders>
              <w:top w:val="single" w:color="000000" w:sz="4" w:space="0"/>
              <w:left w:val="double" w:color="000000" w:sz="4" w:space="0"/>
              <w:bottom w:val="single" w:color="000000" w:sz="4" w:space="0"/>
              <w:right w:val="single" w:color="000000" w:sz="4" w:space="0"/>
            </w:tcBorders>
            <w:shd w:val="clear" w:color="auto" w:fill="FFFFFF"/>
          </w:tcPr>
          <w:p>
            <w:pPr>
              <w:jc w:val="both"/>
              <w:rPr>
                <w:sz w:val="20"/>
                <w:szCs w:val="20"/>
              </w:rPr>
            </w:pPr>
            <w:r>
              <w:rPr>
                <w:sz w:val="20"/>
                <w:szCs w:val="20"/>
              </w:rPr>
              <w:t>3.</w:t>
            </w:r>
          </w:p>
        </w:tc>
        <w:tc>
          <w:tcPr>
            <w:tcW w:w="7431"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lang w:val="sr-Latn-ME"/>
              </w:rPr>
            </w:pPr>
            <w:r>
              <w:rPr>
                <w:sz w:val="20"/>
                <w:szCs w:val="20"/>
                <w:lang w:val="sr-Latn-ME"/>
              </w:rPr>
              <w:t>Prihodi od izdavanja teretane</w:t>
            </w:r>
          </w:p>
        </w:tc>
        <w:tc>
          <w:tcPr>
            <w:tcW w:w="1635" w:type="dxa"/>
            <w:tcBorders>
              <w:top w:val="single" w:color="000000" w:sz="4" w:space="0"/>
              <w:left w:val="single" w:color="000000" w:sz="4" w:space="0"/>
              <w:bottom w:val="single" w:color="000000" w:sz="4" w:space="0"/>
              <w:right w:val="double" w:color="000000" w:sz="4" w:space="0"/>
            </w:tcBorders>
            <w:shd w:val="clear" w:color="auto" w:fill="FFFFFF"/>
          </w:tcPr>
          <w:p>
            <w:pPr>
              <w:jc w:val="right"/>
            </w:pPr>
            <w:r>
              <w:rPr>
                <w:sz w:val="20"/>
                <w:szCs w:val="20"/>
              </w:rPr>
              <w:t>2.099,81</w:t>
            </w:r>
          </w:p>
        </w:tc>
      </w:tr>
      <w:tr>
        <w:tblPrEx>
          <w:tblCellMar>
            <w:top w:w="0" w:type="dxa"/>
            <w:left w:w="108" w:type="dxa"/>
            <w:bottom w:w="0" w:type="dxa"/>
            <w:right w:w="108" w:type="dxa"/>
          </w:tblCellMar>
        </w:tblPrEx>
        <w:trPr>
          <w:trHeight w:val="272" w:hRule="atLeast"/>
          <w:jc w:val="center"/>
        </w:trPr>
        <w:tc>
          <w:tcPr>
            <w:tcW w:w="991" w:type="dxa"/>
            <w:tcBorders>
              <w:top w:val="single" w:color="000000" w:sz="4" w:space="0"/>
              <w:left w:val="double" w:color="000000" w:sz="4" w:space="0"/>
              <w:bottom w:val="single" w:color="000000" w:sz="4" w:space="0"/>
              <w:right w:val="single" w:color="000000" w:sz="4" w:space="0"/>
            </w:tcBorders>
            <w:shd w:val="clear" w:color="auto" w:fill="FFFFFF"/>
          </w:tcPr>
          <w:p>
            <w:pPr>
              <w:jc w:val="both"/>
              <w:rPr>
                <w:sz w:val="20"/>
                <w:szCs w:val="20"/>
              </w:rPr>
            </w:pPr>
            <w:r>
              <w:rPr>
                <w:sz w:val="20"/>
                <w:szCs w:val="20"/>
              </w:rPr>
              <w:t>4.</w:t>
            </w:r>
          </w:p>
        </w:tc>
        <w:tc>
          <w:tcPr>
            <w:tcW w:w="7431"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lang w:val="sr-Latn-ME"/>
              </w:rPr>
            </w:pPr>
            <w:r>
              <w:rPr>
                <w:sz w:val="20"/>
                <w:szCs w:val="20"/>
                <w:lang w:val="sr-Latn-ME"/>
              </w:rPr>
              <w:t>Prihodi od izdavanja fudbalskog terena</w:t>
            </w:r>
          </w:p>
        </w:tc>
        <w:tc>
          <w:tcPr>
            <w:tcW w:w="1635" w:type="dxa"/>
            <w:tcBorders>
              <w:top w:val="single" w:color="000000" w:sz="4" w:space="0"/>
              <w:left w:val="single" w:color="000000" w:sz="4" w:space="0"/>
              <w:bottom w:val="single" w:color="000000" w:sz="4" w:space="0"/>
              <w:right w:val="double" w:color="000000" w:sz="4" w:space="0"/>
            </w:tcBorders>
            <w:shd w:val="clear" w:color="auto" w:fill="FFFFFF"/>
          </w:tcPr>
          <w:p>
            <w:pPr>
              <w:jc w:val="right"/>
            </w:pPr>
            <w:r>
              <w:rPr>
                <w:sz w:val="20"/>
                <w:szCs w:val="20"/>
              </w:rPr>
              <w:t>7.883,49</w:t>
            </w:r>
          </w:p>
        </w:tc>
      </w:tr>
      <w:tr>
        <w:tblPrEx>
          <w:tblCellMar>
            <w:top w:w="0" w:type="dxa"/>
            <w:left w:w="108" w:type="dxa"/>
            <w:bottom w:w="0" w:type="dxa"/>
            <w:right w:w="108" w:type="dxa"/>
          </w:tblCellMar>
        </w:tblPrEx>
        <w:trPr>
          <w:trHeight w:val="286" w:hRule="atLeast"/>
          <w:jc w:val="center"/>
        </w:trPr>
        <w:tc>
          <w:tcPr>
            <w:tcW w:w="991" w:type="dxa"/>
            <w:tcBorders>
              <w:top w:val="single" w:color="000000" w:sz="4" w:space="0"/>
              <w:left w:val="double" w:color="000000" w:sz="4" w:space="0"/>
              <w:bottom w:val="single" w:color="000000" w:sz="4" w:space="0"/>
              <w:right w:val="single" w:color="000000" w:sz="4" w:space="0"/>
            </w:tcBorders>
            <w:shd w:val="clear" w:color="auto" w:fill="FFFFFF"/>
          </w:tcPr>
          <w:p>
            <w:pPr>
              <w:jc w:val="both"/>
              <w:rPr>
                <w:sz w:val="20"/>
                <w:szCs w:val="20"/>
              </w:rPr>
            </w:pPr>
            <w:r>
              <w:rPr>
                <w:sz w:val="20"/>
                <w:szCs w:val="20"/>
              </w:rPr>
              <w:t>5.</w:t>
            </w:r>
          </w:p>
        </w:tc>
        <w:tc>
          <w:tcPr>
            <w:tcW w:w="7431"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lang w:val="sr-Latn-ME"/>
              </w:rPr>
            </w:pPr>
            <w:r>
              <w:rPr>
                <w:sz w:val="20"/>
                <w:szCs w:val="20"/>
                <w:lang w:val="sr-Latn-ME"/>
              </w:rPr>
              <w:t>Prihodi od izdavanja teniskih terena</w:t>
            </w:r>
          </w:p>
        </w:tc>
        <w:tc>
          <w:tcPr>
            <w:tcW w:w="1635" w:type="dxa"/>
            <w:tcBorders>
              <w:top w:val="single" w:color="000000" w:sz="4" w:space="0"/>
              <w:left w:val="single" w:color="000000" w:sz="4" w:space="0"/>
              <w:bottom w:val="single" w:color="000000" w:sz="4" w:space="0"/>
              <w:right w:val="double" w:color="000000" w:sz="4" w:space="0"/>
            </w:tcBorders>
            <w:shd w:val="clear" w:color="auto" w:fill="FFFFFF"/>
          </w:tcPr>
          <w:p>
            <w:pPr>
              <w:jc w:val="right"/>
            </w:pPr>
            <w:r>
              <w:rPr>
                <w:sz w:val="20"/>
                <w:szCs w:val="20"/>
              </w:rPr>
              <w:t>976,85</w:t>
            </w:r>
          </w:p>
        </w:tc>
      </w:tr>
      <w:tr>
        <w:tblPrEx>
          <w:tblCellMar>
            <w:top w:w="0" w:type="dxa"/>
            <w:left w:w="108" w:type="dxa"/>
            <w:bottom w:w="0" w:type="dxa"/>
            <w:right w:w="108" w:type="dxa"/>
          </w:tblCellMar>
        </w:tblPrEx>
        <w:trPr>
          <w:trHeight w:val="286" w:hRule="atLeast"/>
          <w:jc w:val="center"/>
        </w:trPr>
        <w:tc>
          <w:tcPr>
            <w:tcW w:w="991" w:type="dxa"/>
            <w:tcBorders>
              <w:top w:val="single" w:color="000000" w:sz="4" w:space="0"/>
              <w:left w:val="double" w:color="000000" w:sz="4" w:space="0"/>
              <w:bottom w:val="single" w:color="000000" w:sz="4" w:space="0"/>
              <w:right w:val="single" w:color="000000" w:sz="4" w:space="0"/>
            </w:tcBorders>
            <w:shd w:val="clear" w:color="auto" w:fill="FFFFFF"/>
          </w:tcPr>
          <w:p>
            <w:pPr>
              <w:jc w:val="both"/>
              <w:rPr>
                <w:sz w:val="20"/>
                <w:szCs w:val="20"/>
              </w:rPr>
            </w:pPr>
            <w:r>
              <w:rPr>
                <w:sz w:val="20"/>
                <w:szCs w:val="20"/>
              </w:rPr>
              <w:t>6.</w:t>
            </w:r>
          </w:p>
        </w:tc>
        <w:tc>
          <w:tcPr>
            <w:tcW w:w="7431"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lang w:val="sr-Latn-ME"/>
              </w:rPr>
            </w:pPr>
            <w:r>
              <w:rPr>
                <w:sz w:val="20"/>
                <w:szCs w:val="20"/>
                <w:lang w:val="sr-Latn-ME"/>
              </w:rPr>
              <w:t>Prihodi od izdavanja poslovnih prostora</w:t>
            </w:r>
          </w:p>
        </w:tc>
        <w:tc>
          <w:tcPr>
            <w:tcW w:w="1635" w:type="dxa"/>
            <w:tcBorders>
              <w:top w:val="single" w:color="000000" w:sz="4" w:space="0"/>
              <w:left w:val="single" w:color="000000" w:sz="4" w:space="0"/>
              <w:bottom w:val="single" w:color="000000" w:sz="4" w:space="0"/>
              <w:right w:val="double" w:color="000000" w:sz="4" w:space="0"/>
            </w:tcBorders>
            <w:shd w:val="clear" w:color="auto" w:fill="FFFFFF"/>
          </w:tcPr>
          <w:p>
            <w:pPr>
              <w:jc w:val="right"/>
            </w:pPr>
            <w:r>
              <w:rPr>
                <w:sz w:val="20"/>
                <w:szCs w:val="20"/>
              </w:rPr>
              <w:t>34.439,66</w:t>
            </w:r>
          </w:p>
        </w:tc>
      </w:tr>
      <w:tr>
        <w:tblPrEx>
          <w:tblCellMar>
            <w:top w:w="0" w:type="dxa"/>
            <w:left w:w="108" w:type="dxa"/>
            <w:bottom w:w="0" w:type="dxa"/>
            <w:right w:w="108" w:type="dxa"/>
          </w:tblCellMar>
        </w:tblPrEx>
        <w:trPr>
          <w:trHeight w:val="272" w:hRule="atLeast"/>
          <w:jc w:val="center"/>
        </w:trPr>
        <w:tc>
          <w:tcPr>
            <w:tcW w:w="991" w:type="dxa"/>
            <w:tcBorders>
              <w:top w:val="single" w:color="000000" w:sz="4" w:space="0"/>
              <w:left w:val="double" w:color="000000" w:sz="4" w:space="0"/>
              <w:bottom w:val="single" w:color="000000" w:sz="4" w:space="0"/>
              <w:right w:val="single" w:color="000000" w:sz="4" w:space="0"/>
            </w:tcBorders>
            <w:shd w:val="clear" w:color="auto" w:fill="FFFFFF"/>
          </w:tcPr>
          <w:p>
            <w:pPr>
              <w:jc w:val="both"/>
              <w:rPr>
                <w:sz w:val="20"/>
                <w:szCs w:val="20"/>
              </w:rPr>
            </w:pPr>
            <w:r>
              <w:rPr>
                <w:sz w:val="20"/>
                <w:szCs w:val="20"/>
              </w:rPr>
              <w:t>7.</w:t>
            </w:r>
          </w:p>
        </w:tc>
        <w:tc>
          <w:tcPr>
            <w:tcW w:w="7431"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lang w:val="sr-Latn-ME"/>
              </w:rPr>
            </w:pPr>
            <w:r>
              <w:rPr>
                <w:sz w:val="20"/>
                <w:szCs w:val="20"/>
                <w:lang w:val="sr-Latn-ME"/>
              </w:rPr>
              <w:t>Prihodi od izdavanja reklamnih prostora</w:t>
            </w:r>
          </w:p>
        </w:tc>
        <w:tc>
          <w:tcPr>
            <w:tcW w:w="1635" w:type="dxa"/>
            <w:tcBorders>
              <w:top w:val="single" w:color="000000" w:sz="4" w:space="0"/>
              <w:left w:val="single" w:color="000000" w:sz="4" w:space="0"/>
              <w:bottom w:val="single" w:color="000000" w:sz="4" w:space="0"/>
              <w:right w:val="double" w:color="000000" w:sz="4" w:space="0"/>
            </w:tcBorders>
            <w:shd w:val="clear" w:color="auto" w:fill="FFFFFF"/>
          </w:tcPr>
          <w:p>
            <w:pPr>
              <w:jc w:val="right"/>
            </w:pPr>
            <w:r>
              <w:rPr>
                <w:sz w:val="20"/>
                <w:szCs w:val="20"/>
              </w:rPr>
              <w:t>8.012,54</w:t>
            </w:r>
          </w:p>
        </w:tc>
      </w:tr>
      <w:tr>
        <w:tblPrEx>
          <w:tblCellMar>
            <w:top w:w="0" w:type="dxa"/>
            <w:left w:w="108" w:type="dxa"/>
            <w:bottom w:w="0" w:type="dxa"/>
            <w:right w:w="108" w:type="dxa"/>
          </w:tblCellMar>
        </w:tblPrEx>
        <w:trPr>
          <w:trHeight w:val="286" w:hRule="atLeast"/>
          <w:jc w:val="center"/>
        </w:trPr>
        <w:tc>
          <w:tcPr>
            <w:tcW w:w="991" w:type="dxa"/>
            <w:tcBorders>
              <w:top w:val="single" w:color="000000" w:sz="4" w:space="0"/>
              <w:left w:val="double" w:color="000000" w:sz="4" w:space="0"/>
              <w:bottom w:val="single" w:color="000000" w:sz="4" w:space="0"/>
              <w:right w:val="single" w:color="000000" w:sz="4" w:space="0"/>
            </w:tcBorders>
            <w:shd w:val="clear" w:color="auto" w:fill="FFFFFF"/>
          </w:tcPr>
          <w:p>
            <w:pPr>
              <w:jc w:val="both"/>
              <w:rPr>
                <w:sz w:val="20"/>
                <w:szCs w:val="20"/>
              </w:rPr>
            </w:pPr>
            <w:r>
              <w:rPr>
                <w:sz w:val="20"/>
                <w:szCs w:val="20"/>
              </w:rPr>
              <w:t>8.</w:t>
            </w:r>
          </w:p>
        </w:tc>
        <w:tc>
          <w:tcPr>
            <w:tcW w:w="7431"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lang w:val="sr-Latn-ME"/>
              </w:rPr>
            </w:pPr>
            <w:r>
              <w:rPr>
                <w:sz w:val="20"/>
                <w:szCs w:val="20"/>
                <w:lang w:val="sr-Latn-ME"/>
              </w:rPr>
              <w:t>Prihodi od izdavanja streljane</w:t>
            </w:r>
          </w:p>
        </w:tc>
        <w:tc>
          <w:tcPr>
            <w:tcW w:w="1635" w:type="dxa"/>
            <w:tcBorders>
              <w:top w:val="single" w:color="000000" w:sz="4" w:space="0"/>
              <w:left w:val="single" w:color="000000" w:sz="4" w:space="0"/>
              <w:bottom w:val="single" w:color="000000" w:sz="4" w:space="0"/>
              <w:right w:val="double" w:color="000000" w:sz="4" w:space="0"/>
            </w:tcBorders>
            <w:shd w:val="clear" w:color="auto" w:fill="FFFFFF"/>
          </w:tcPr>
          <w:p>
            <w:pPr>
              <w:jc w:val="right"/>
            </w:pPr>
            <w:r>
              <w:rPr>
                <w:sz w:val="20"/>
                <w:szCs w:val="20"/>
              </w:rPr>
              <w:t>1.514,67</w:t>
            </w:r>
          </w:p>
        </w:tc>
      </w:tr>
      <w:tr>
        <w:tblPrEx>
          <w:tblCellMar>
            <w:top w:w="0" w:type="dxa"/>
            <w:left w:w="108" w:type="dxa"/>
            <w:bottom w:w="0" w:type="dxa"/>
            <w:right w:w="108" w:type="dxa"/>
          </w:tblCellMar>
        </w:tblPrEx>
        <w:trPr>
          <w:trHeight w:val="238" w:hRule="atLeast"/>
          <w:jc w:val="center"/>
        </w:trPr>
        <w:tc>
          <w:tcPr>
            <w:tcW w:w="991" w:type="dxa"/>
            <w:tcBorders>
              <w:top w:val="single" w:color="000000" w:sz="4" w:space="0"/>
              <w:left w:val="double" w:color="000000" w:sz="4" w:space="0"/>
              <w:bottom w:val="single" w:color="000000" w:sz="4" w:space="0"/>
              <w:right w:val="single" w:color="000000" w:sz="4" w:space="0"/>
            </w:tcBorders>
            <w:shd w:val="clear" w:color="auto" w:fill="FFFFFF"/>
          </w:tcPr>
          <w:p>
            <w:pPr>
              <w:jc w:val="both"/>
              <w:rPr>
                <w:sz w:val="20"/>
                <w:szCs w:val="20"/>
              </w:rPr>
            </w:pPr>
            <w:r>
              <w:rPr>
                <w:sz w:val="20"/>
                <w:szCs w:val="20"/>
              </w:rPr>
              <w:t>9.</w:t>
            </w:r>
          </w:p>
        </w:tc>
        <w:tc>
          <w:tcPr>
            <w:tcW w:w="7431"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lang w:val="sr-Latn-ME"/>
              </w:rPr>
            </w:pPr>
            <w:r>
              <w:rPr>
                <w:sz w:val="20"/>
                <w:szCs w:val="20"/>
                <w:lang w:val="sr-Latn-ME"/>
              </w:rPr>
              <w:t>Prihodi od dotacija - budžet Opštine Nikšić</w:t>
            </w:r>
          </w:p>
        </w:tc>
        <w:tc>
          <w:tcPr>
            <w:tcW w:w="1635" w:type="dxa"/>
            <w:tcBorders>
              <w:top w:val="single" w:color="000000" w:sz="4" w:space="0"/>
              <w:left w:val="single" w:color="000000" w:sz="4" w:space="0"/>
              <w:bottom w:val="single" w:color="000000" w:sz="4" w:space="0"/>
              <w:right w:val="double" w:color="000000" w:sz="4" w:space="0"/>
            </w:tcBorders>
            <w:shd w:val="clear" w:color="auto" w:fill="FFFFFF"/>
          </w:tcPr>
          <w:p>
            <w:pPr>
              <w:jc w:val="right"/>
            </w:pPr>
            <w:r>
              <w:rPr>
                <w:sz w:val="20"/>
                <w:szCs w:val="20"/>
              </w:rPr>
              <w:t>580.000,00</w:t>
            </w:r>
          </w:p>
        </w:tc>
      </w:tr>
      <w:tr>
        <w:tblPrEx>
          <w:tblCellMar>
            <w:top w:w="0" w:type="dxa"/>
            <w:left w:w="108" w:type="dxa"/>
            <w:bottom w:w="0" w:type="dxa"/>
            <w:right w:w="108" w:type="dxa"/>
          </w:tblCellMar>
        </w:tblPrEx>
        <w:trPr>
          <w:trHeight w:val="238" w:hRule="atLeast"/>
          <w:jc w:val="center"/>
        </w:trPr>
        <w:tc>
          <w:tcPr>
            <w:tcW w:w="991" w:type="dxa"/>
            <w:tcBorders>
              <w:top w:val="single" w:color="000000" w:sz="4" w:space="0"/>
              <w:left w:val="double" w:color="000000" w:sz="4" w:space="0"/>
              <w:bottom w:val="single" w:color="000000" w:sz="4" w:space="0"/>
              <w:right w:val="single" w:color="000000" w:sz="4" w:space="0"/>
            </w:tcBorders>
            <w:shd w:val="clear" w:color="auto" w:fill="FFFFFF"/>
          </w:tcPr>
          <w:p>
            <w:pPr>
              <w:jc w:val="both"/>
              <w:rPr>
                <w:sz w:val="20"/>
                <w:szCs w:val="20"/>
              </w:rPr>
            </w:pPr>
            <w:r>
              <w:rPr>
                <w:sz w:val="20"/>
                <w:szCs w:val="20"/>
              </w:rPr>
              <w:t>10.</w:t>
            </w:r>
          </w:p>
        </w:tc>
        <w:tc>
          <w:tcPr>
            <w:tcW w:w="7431" w:type="dxa"/>
            <w:tcBorders>
              <w:top w:val="single" w:color="000000" w:sz="4" w:space="0"/>
              <w:left w:val="single" w:color="000000" w:sz="4" w:space="0"/>
              <w:bottom w:val="single" w:color="000000" w:sz="4" w:space="0"/>
              <w:right w:val="single" w:color="000000" w:sz="4" w:space="0"/>
            </w:tcBorders>
            <w:shd w:val="clear" w:color="auto" w:fill="FFFFFF"/>
          </w:tcPr>
          <w:p>
            <w:pPr>
              <w:rPr>
                <w:sz w:val="20"/>
                <w:szCs w:val="20"/>
                <w:lang w:val="sr-Latn-ME"/>
              </w:rPr>
            </w:pPr>
            <w:r>
              <w:rPr>
                <w:sz w:val="20"/>
                <w:szCs w:val="20"/>
                <w:lang w:val="sr-Latn-ME"/>
              </w:rPr>
              <w:t>Prihodi od donacija - pomoć Vlade i državna davanja</w:t>
            </w:r>
          </w:p>
        </w:tc>
        <w:tc>
          <w:tcPr>
            <w:tcW w:w="1635" w:type="dxa"/>
            <w:tcBorders>
              <w:top w:val="single" w:color="000000" w:sz="4" w:space="0"/>
              <w:left w:val="single" w:color="000000" w:sz="4" w:space="0"/>
              <w:bottom w:val="single" w:color="000000" w:sz="4" w:space="0"/>
              <w:right w:val="double" w:color="000000" w:sz="4" w:space="0"/>
            </w:tcBorders>
            <w:shd w:val="clear" w:color="auto" w:fill="FFFFFF"/>
          </w:tcPr>
          <w:p>
            <w:pPr>
              <w:jc w:val="right"/>
            </w:pPr>
            <w:r>
              <w:rPr>
                <w:sz w:val="20"/>
                <w:szCs w:val="20"/>
              </w:rPr>
              <w:t>210.060,04</w:t>
            </w:r>
          </w:p>
        </w:tc>
      </w:tr>
      <w:tr>
        <w:tblPrEx>
          <w:tblCellMar>
            <w:top w:w="0" w:type="dxa"/>
            <w:left w:w="108" w:type="dxa"/>
            <w:bottom w:w="0" w:type="dxa"/>
            <w:right w:w="108" w:type="dxa"/>
          </w:tblCellMar>
        </w:tblPrEx>
        <w:trPr>
          <w:trHeight w:val="286" w:hRule="atLeast"/>
          <w:jc w:val="center"/>
        </w:trPr>
        <w:tc>
          <w:tcPr>
            <w:tcW w:w="991" w:type="dxa"/>
            <w:tcBorders>
              <w:top w:val="single" w:color="000000" w:sz="4" w:space="0"/>
              <w:left w:val="double" w:color="000000" w:sz="4" w:space="0"/>
              <w:bottom w:val="double" w:color="000000" w:sz="4" w:space="0"/>
              <w:right w:val="single" w:color="000000" w:sz="4" w:space="0"/>
            </w:tcBorders>
            <w:shd w:val="clear" w:color="auto" w:fill="FFFFFF"/>
          </w:tcPr>
          <w:p>
            <w:pPr>
              <w:jc w:val="both"/>
              <w:rPr>
                <w:sz w:val="20"/>
                <w:szCs w:val="20"/>
              </w:rPr>
            </w:pPr>
            <w:r>
              <w:rPr>
                <w:sz w:val="20"/>
                <w:szCs w:val="20"/>
              </w:rPr>
              <w:t>11.</w:t>
            </w:r>
          </w:p>
        </w:tc>
        <w:tc>
          <w:tcPr>
            <w:tcW w:w="7431" w:type="dxa"/>
            <w:tcBorders>
              <w:top w:val="single" w:color="000000" w:sz="4" w:space="0"/>
              <w:left w:val="single" w:color="000000" w:sz="4" w:space="0"/>
              <w:bottom w:val="double" w:color="000000" w:sz="4" w:space="0"/>
              <w:right w:val="single" w:color="000000" w:sz="4" w:space="0"/>
            </w:tcBorders>
            <w:shd w:val="clear" w:color="auto" w:fill="FFFFFF"/>
          </w:tcPr>
          <w:p>
            <w:pPr>
              <w:rPr>
                <w:sz w:val="20"/>
                <w:szCs w:val="20"/>
                <w:lang w:val="sr-Latn-ME"/>
              </w:rPr>
            </w:pPr>
            <w:r>
              <w:rPr>
                <w:sz w:val="20"/>
                <w:szCs w:val="20"/>
                <w:lang w:val="sr-Latn-ME"/>
              </w:rPr>
              <w:t>Ostali poslovni prihodi</w:t>
            </w:r>
          </w:p>
        </w:tc>
        <w:tc>
          <w:tcPr>
            <w:tcW w:w="1635" w:type="dxa"/>
            <w:tcBorders>
              <w:top w:val="single" w:color="000000" w:sz="4" w:space="0"/>
              <w:left w:val="single" w:color="000000" w:sz="4" w:space="0"/>
              <w:bottom w:val="double" w:color="000000" w:sz="4" w:space="0"/>
              <w:right w:val="double" w:color="000000" w:sz="4" w:space="0"/>
            </w:tcBorders>
            <w:shd w:val="clear" w:color="auto" w:fill="FFFFFF"/>
          </w:tcPr>
          <w:p>
            <w:pPr>
              <w:jc w:val="right"/>
            </w:pPr>
            <w:r>
              <w:rPr>
                <w:sz w:val="20"/>
                <w:szCs w:val="20"/>
              </w:rPr>
              <w:t>852,61</w:t>
            </w:r>
          </w:p>
        </w:tc>
      </w:tr>
      <w:tr>
        <w:tblPrEx>
          <w:tblCellMar>
            <w:top w:w="0" w:type="dxa"/>
            <w:left w:w="108" w:type="dxa"/>
            <w:bottom w:w="0" w:type="dxa"/>
            <w:right w:w="108" w:type="dxa"/>
          </w:tblCellMar>
        </w:tblPrEx>
        <w:trPr>
          <w:trHeight w:val="255" w:hRule="atLeast"/>
          <w:jc w:val="center"/>
        </w:trPr>
        <w:tc>
          <w:tcPr>
            <w:tcW w:w="8422" w:type="dxa"/>
            <w:gridSpan w:val="2"/>
            <w:tcBorders>
              <w:top w:val="double" w:color="000000" w:sz="4" w:space="0"/>
              <w:left w:val="double" w:color="000000" w:sz="4" w:space="0"/>
              <w:bottom w:val="double" w:color="000000" w:sz="4" w:space="0"/>
              <w:right w:val="double" w:color="000000" w:sz="4" w:space="0"/>
            </w:tcBorders>
            <w:shd w:val="clear" w:color="auto" w:fill="F2DCDC"/>
          </w:tcPr>
          <w:p>
            <w:pPr>
              <w:ind w:firstLine="720"/>
              <w:jc w:val="center"/>
              <w:rPr>
                <w:b/>
                <w:sz w:val="20"/>
                <w:szCs w:val="20"/>
                <w:lang w:val="sr-Latn-ME"/>
              </w:rPr>
            </w:pPr>
            <w:r>
              <w:rPr>
                <w:b/>
                <w:sz w:val="20"/>
                <w:szCs w:val="20"/>
                <w:lang w:val="sr-Latn-ME"/>
              </w:rPr>
              <w:t>UKUPNI PRIHODI</w:t>
            </w:r>
          </w:p>
        </w:tc>
        <w:tc>
          <w:tcPr>
            <w:tcW w:w="1635"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right"/>
            </w:pPr>
            <w:r>
              <w:rPr>
                <w:b/>
                <w:sz w:val="20"/>
                <w:szCs w:val="20"/>
              </w:rPr>
              <w:t>1.139.490,52</w:t>
            </w:r>
          </w:p>
        </w:tc>
      </w:tr>
    </w:tbl>
    <w:p>
      <w:pPr>
        <w:jc w:val="both"/>
        <w:rPr>
          <w:i/>
        </w:rPr>
      </w:pPr>
    </w:p>
    <w:p>
      <w:pPr>
        <w:jc w:val="center"/>
      </w:pPr>
      <w:r>
        <w:t xml:space="preserve">Tabela 2.2.2.: Ostvareni rashodi sportske dvorane u 2023. godini </w:t>
      </w:r>
    </w:p>
    <w:tbl>
      <w:tblPr>
        <w:tblStyle w:val="7"/>
        <w:tblW w:w="10039" w:type="dxa"/>
        <w:jc w:val="center"/>
        <w:tblLayout w:type="fixed"/>
        <w:tblCellMar>
          <w:top w:w="0" w:type="dxa"/>
          <w:left w:w="108" w:type="dxa"/>
          <w:bottom w:w="0" w:type="dxa"/>
          <w:right w:w="108" w:type="dxa"/>
        </w:tblCellMar>
      </w:tblPr>
      <w:tblGrid>
        <w:gridCol w:w="997"/>
        <w:gridCol w:w="7455"/>
        <w:gridCol w:w="1587"/>
      </w:tblGrid>
      <w:tr>
        <w:tblPrEx>
          <w:tblCellMar>
            <w:top w:w="0" w:type="dxa"/>
            <w:left w:w="108" w:type="dxa"/>
            <w:bottom w:w="0" w:type="dxa"/>
            <w:right w:w="108" w:type="dxa"/>
          </w:tblCellMar>
        </w:tblPrEx>
        <w:trPr>
          <w:jc w:val="center"/>
        </w:trPr>
        <w:tc>
          <w:tcPr>
            <w:tcW w:w="997" w:type="dxa"/>
            <w:tcBorders>
              <w:top w:val="double" w:color="000000" w:sz="4" w:space="0"/>
              <w:left w:val="double" w:color="000000" w:sz="4" w:space="0"/>
              <w:bottom w:val="double" w:color="000000" w:sz="4" w:space="0"/>
              <w:right w:val="double" w:color="000000" w:sz="4" w:space="0"/>
            </w:tcBorders>
            <w:shd w:val="clear" w:color="auto" w:fill="F2DBDB"/>
          </w:tcPr>
          <w:p>
            <w:r>
              <w:rPr>
                <w:b/>
                <w:sz w:val="20"/>
                <w:szCs w:val="20"/>
                <w:lang w:val="sr-Latn-ME"/>
              </w:rPr>
              <w:t>R</w:t>
            </w:r>
            <w:r>
              <w:rPr>
                <w:b/>
                <w:sz w:val="20"/>
                <w:szCs w:val="20"/>
              </w:rPr>
              <w:t xml:space="preserve">. </w:t>
            </w:r>
            <w:r>
              <w:rPr>
                <w:b/>
                <w:sz w:val="20"/>
                <w:szCs w:val="20"/>
                <w:lang w:val="sr-Latn-ME"/>
              </w:rPr>
              <w:t>br</w:t>
            </w:r>
            <w:r>
              <w:rPr>
                <w:b/>
                <w:sz w:val="20"/>
                <w:szCs w:val="20"/>
              </w:rPr>
              <w:t>.</w:t>
            </w:r>
          </w:p>
        </w:tc>
        <w:tc>
          <w:tcPr>
            <w:tcW w:w="7455" w:type="dxa"/>
            <w:tcBorders>
              <w:top w:val="double" w:color="000000" w:sz="4" w:space="0"/>
              <w:left w:val="double" w:color="000000" w:sz="4" w:space="0"/>
              <w:bottom w:val="double" w:color="000000" w:sz="4" w:space="0"/>
              <w:right w:val="double" w:color="000000" w:sz="4" w:space="0"/>
            </w:tcBorders>
            <w:shd w:val="clear" w:color="auto" w:fill="F2DBDB"/>
          </w:tcPr>
          <w:p>
            <w:pPr>
              <w:jc w:val="center"/>
              <w:rPr>
                <w:b/>
                <w:sz w:val="20"/>
                <w:szCs w:val="20"/>
                <w:lang w:val="sr-Latn-ME"/>
              </w:rPr>
            </w:pPr>
            <w:r>
              <w:rPr>
                <w:b/>
                <w:sz w:val="20"/>
                <w:szCs w:val="20"/>
                <w:lang w:val="sr-Latn-ME"/>
              </w:rPr>
              <w:t>Opis</w:t>
            </w:r>
          </w:p>
        </w:tc>
        <w:tc>
          <w:tcPr>
            <w:tcW w:w="1587" w:type="dxa"/>
            <w:tcBorders>
              <w:top w:val="double" w:color="000000" w:sz="4" w:space="0"/>
              <w:left w:val="double" w:color="000000" w:sz="4" w:space="0"/>
              <w:bottom w:val="double" w:color="000000" w:sz="4" w:space="0"/>
              <w:right w:val="double" w:color="000000" w:sz="4" w:space="0"/>
            </w:tcBorders>
            <w:shd w:val="clear" w:color="auto" w:fill="F2DBDB"/>
          </w:tcPr>
          <w:p>
            <w:pPr>
              <w:jc w:val="center"/>
            </w:pPr>
            <w:r>
              <w:rPr>
                <w:rFonts w:cs="Calibri"/>
                <w:b/>
                <w:sz w:val="20"/>
                <w:szCs w:val="20"/>
                <w:lang w:val="sr-Latn-ME"/>
              </w:rPr>
              <w:t>Iznos</w:t>
            </w:r>
            <w:r>
              <w:rPr>
                <w:rFonts w:cs="Calibri"/>
                <w:b/>
                <w:sz w:val="20"/>
                <w:szCs w:val="20"/>
              </w:rPr>
              <w:t xml:space="preserve"> €</w:t>
            </w:r>
          </w:p>
        </w:tc>
      </w:tr>
      <w:tr>
        <w:tblPrEx>
          <w:tblCellMar>
            <w:top w:w="0" w:type="dxa"/>
            <w:left w:w="108" w:type="dxa"/>
            <w:bottom w:w="0" w:type="dxa"/>
            <w:right w:w="108" w:type="dxa"/>
          </w:tblCellMar>
        </w:tblPrEx>
        <w:trPr>
          <w:jc w:val="center"/>
        </w:trPr>
        <w:tc>
          <w:tcPr>
            <w:tcW w:w="997" w:type="dxa"/>
            <w:tcBorders>
              <w:top w:val="double" w:color="000000" w:sz="4" w:space="0"/>
              <w:left w:val="double" w:color="000000" w:sz="4" w:space="0"/>
              <w:bottom w:val="single" w:color="000000" w:sz="4" w:space="0"/>
              <w:right w:val="single" w:color="000000" w:sz="4" w:space="0"/>
            </w:tcBorders>
          </w:tcPr>
          <w:p>
            <w:pPr>
              <w:rPr>
                <w:sz w:val="20"/>
                <w:szCs w:val="20"/>
              </w:rPr>
            </w:pPr>
            <w:r>
              <w:rPr>
                <w:sz w:val="20"/>
                <w:szCs w:val="20"/>
              </w:rPr>
              <w:t>1.</w:t>
            </w:r>
          </w:p>
        </w:tc>
        <w:tc>
          <w:tcPr>
            <w:tcW w:w="7455" w:type="dxa"/>
            <w:tcBorders>
              <w:top w:val="double" w:color="000000" w:sz="4" w:space="0"/>
              <w:left w:val="single" w:color="000000" w:sz="4" w:space="0"/>
              <w:bottom w:val="single" w:color="000000" w:sz="4" w:space="0"/>
              <w:right w:val="single" w:color="000000" w:sz="4" w:space="0"/>
            </w:tcBorders>
          </w:tcPr>
          <w:p>
            <w:pPr>
              <w:rPr>
                <w:sz w:val="20"/>
                <w:szCs w:val="20"/>
                <w:lang w:val="sr-Latn-ME"/>
              </w:rPr>
            </w:pPr>
            <w:r>
              <w:rPr>
                <w:sz w:val="20"/>
                <w:szCs w:val="20"/>
                <w:lang w:val="sr-Latn-ME"/>
              </w:rPr>
              <w:t>Materijal za održavanje higijene i kancelarijski materijal</w:t>
            </w:r>
          </w:p>
        </w:tc>
        <w:tc>
          <w:tcPr>
            <w:tcW w:w="1587" w:type="dxa"/>
            <w:tcBorders>
              <w:top w:val="double" w:color="000000" w:sz="4" w:space="0"/>
              <w:left w:val="single" w:color="000000" w:sz="4" w:space="0"/>
              <w:bottom w:val="single" w:color="000000" w:sz="4" w:space="0"/>
              <w:right w:val="double" w:color="000000" w:sz="4" w:space="0"/>
            </w:tcBorders>
          </w:tcPr>
          <w:p>
            <w:pPr>
              <w:jc w:val="right"/>
            </w:pPr>
            <w:r>
              <w:rPr>
                <w:sz w:val="20"/>
                <w:szCs w:val="20"/>
              </w:rPr>
              <w:t>5.132,02</w:t>
            </w:r>
          </w:p>
        </w:tc>
      </w:tr>
      <w:tr>
        <w:tblPrEx>
          <w:tblCellMar>
            <w:top w:w="0" w:type="dxa"/>
            <w:left w:w="108" w:type="dxa"/>
            <w:bottom w:w="0" w:type="dxa"/>
            <w:right w:w="108" w:type="dxa"/>
          </w:tblCellMar>
        </w:tblPrEx>
        <w:trPr>
          <w:jc w:val="center"/>
        </w:trPr>
        <w:tc>
          <w:tcPr>
            <w:tcW w:w="997" w:type="dxa"/>
            <w:tcBorders>
              <w:top w:val="single" w:color="000000" w:sz="4" w:space="0"/>
              <w:left w:val="double" w:color="000000" w:sz="4" w:space="0"/>
              <w:bottom w:val="single" w:color="000000" w:sz="4" w:space="0"/>
              <w:right w:val="single" w:color="000000" w:sz="4" w:space="0"/>
            </w:tcBorders>
          </w:tcPr>
          <w:p>
            <w:pPr>
              <w:rPr>
                <w:sz w:val="20"/>
                <w:szCs w:val="20"/>
              </w:rPr>
            </w:pPr>
            <w:r>
              <w:rPr>
                <w:sz w:val="20"/>
                <w:szCs w:val="20"/>
              </w:rPr>
              <w:t>2.</w:t>
            </w:r>
          </w:p>
        </w:tc>
        <w:tc>
          <w:tcPr>
            <w:tcW w:w="7455" w:type="dxa"/>
            <w:tcBorders>
              <w:top w:val="single" w:color="000000" w:sz="4" w:space="0"/>
              <w:left w:val="single" w:color="000000" w:sz="4" w:space="0"/>
              <w:bottom w:val="single" w:color="000000" w:sz="4" w:space="0"/>
              <w:right w:val="single" w:color="000000" w:sz="4" w:space="0"/>
            </w:tcBorders>
          </w:tcPr>
          <w:p>
            <w:pPr>
              <w:rPr>
                <w:sz w:val="20"/>
                <w:szCs w:val="20"/>
                <w:lang w:val="sr-Latn-ME"/>
              </w:rPr>
            </w:pPr>
            <w:r>
              <w:rPr>
                <w:sz w:val="20"/>
                <w:szCs w:val="20"/>
                <w:lang w:val="sr-Latn-ME"/>
              </w:rPr>
              <w:t>Utrošak energenata ( struja, plin i gorivo )</w:t>
            </w:r>
          </w:p>
        </w:tc>
        <w:tc>
          <w:tcPr>
            <w:tcW w:w="1587" w:type="dxa"/>
            <w:tcBorders>
              <w:top w:val="single" w:color="000000" w:sz="4" w:space="0"/>
              <w:left w:val="single" w:color="000000" w:sz="4" w:space="0"/>
              <w:bottom w:val="single" w:color="000000" w:sz="4" w:space="0"/>
              <w:right w:val="double" w:color="000000" w:sz="4" w:space="0"/>
            </w:tcBorders>
          </w:tcPr>
          <w:p>
            <w:pPr>
              <w:jc w:val="right"/>
            </w:pPr>
            <w:r>
              <w:rPr>
                <w:sz w:val="20"/>
                <w:szCs w:val="20"/>
              </w:rPr>
              <w:t>72.840,55</w:t>
            </w:r>
          </w:p>
        </w:tc>
      </w:tr>
      <w:tr>
        <w:tblPrEx>
          <w:tblCellMar>
            <w:top w:w="0" w:type="dxa"/>
            <w:left w:w="108" w:type="dxa"/>
            <w:bottom w:w="0" w:type="dxa"/>
            <w:right w:w="108" w:type="dxa"/>
          </w:tblCellMar>
        </w:tblPrEx>
        <w:trPr>
          <w:jc w:val="center"/>
        </w:trPr>
        <w:tc>
          <w:tcPr>
            <w:tcW w:w="997" w:type="dxa"/>
            <w:tcBorders>
              <w:top w:val="single" w:color="000000" w:sz="4" w:space="0"/>
              <w:left w:val="double" w:color="000000" w:sz="4" w:space="0"/>
              <w:bottom w:val="single" w:color="000000" w:sz="4" w:space="0"/>
              <w:right w:val="single" w:color="000000" w:sz="4" w:space="0"/>
            </w:tcBorders>
          </w:tcPr>
          <w:p>
            <w:pPr>
              <w:rPr>
                <w:sz w:val="20"/>
                <w:szCs w:val="20"/>
              </w:rPr>
            </w:pPr>
            <w:r>
              <w:rPr>
                <w:sz w:val="20"/>
                <w:szCs w:val="20"/>
              </w:rPr>
              <w:t>3.</w:t>
            </w:r>
          </w:p>
        </w:tc>
        <w:tc>
          <w:tcPr>
            <w:tcW w:w="7455" w:type="dxa"/>
            <w:tcBorders>
              <w:top w:val="single" w:color="000000" w:sz="4" w:space="0"/>
              <w:left w:val="single" w:color="000000" w:sz="4" w:space="0"/>
              <w:bottom w:val="single" w:color="000000" w:sz="4" w:space="0"/>
              <w:right w:val="single" w:color="000000" w:sz="4" w:space="0"/>
            </w:tcBorders>
          </w:tcPr>
          <w:p>
            <w:pPr>
              <w:rPr>
                <w:sz w:val="20"/>
                <w:szCs w:val="20"/>
                <w:lang w:val="sr-Latn-ME"/>
              </w:rPr>
            </w:pPr>
            <w:r>
              <w:rPr>
                <w:sz w:val="20"/>
                <w:szCs w:val="20"/>
                <w:lang w:val="sr-Latn-ME"/>
              </w:rPr>
              <w:t>Troškovi zarada, naknada zarada, ostali lični rashodi i doprinosi na teret poslodavca</w:t>
            </w:r>
          </w:p>
        </w:tc>
        <w:tc>
          <w:tcPr>
            <w:tcW w:w="1587" w:type="dxa"/>
            <w:tcBorders>
              <w:top w:val="single" w:color="000000" w:sz="4" w:space="0"/>
              <w:left w:val="single" w:color="000000" w:sz="4" w:space="0"/>
              <w:bottom w:val="single" w:color="000000" w:sz="4" w:space="0"/>
              <w:right w:val="double" w:color="000000" w:sz="4" w:space="0"/>
            </w:tcBorders>
          </w:tcPr>
          <w:p>
            <w:pPr>
              <w:jc w:val="right"/>
            </w:pPr>
            <w:r>
              <w:rPr>
                <w:sz w:val="20"/>
                <w:szCs w:val="20"/>
              </w:rPr>
              <w:t>650.086,90</w:t>
            </w:r>
          </w:p>
        </w:tc>
      </w:tr>
      <w:tr>
        <w:tblPrEx>
          <w:tblCellMar>
            <w:top w:w="0" w:type="dxa"/>
            <w:left w:w="108" w:type="dxa"/>
            <w:bottom w:w="0" w:type="dxa"/>
            <w:right w:w="108" w:type="dxa"/>
          </w:tblCellMar>
        </w:tblPrEx>
        <w:trPr>
          <w:jc w:val="center"/>
        </w:trPr>
        <w:tc>
          <w:tcPr>
            <w:tcW w:w="997" w:type="dxa"/>
            <w:tcBorders>
              <w:top w:val="single" w:color="000000" w:sz="4" w:space="0"/>
              <w:left w:val="double" w:color="000000" w:sz="4" w:space="0"/>
              <w:bottom w:val="single" w:color="000000" w:sz="4" w:space="0"/>
              <w:right w:val="single" w:color="000000" w:sz="4" w:space="0"/>
            </w:tcBorders>
          </w:tcPr>
          <w:p>
            <w:pPr>
              <w:rPr>
                <w:sz w:val="20"/>
                <w:szCs w:val="20"/>
              </w:rPr>
            </w:pPr>
            <w:r>
              <w:rPr>
                <w:sz w:val="20"/>
                <w:szCs w:val="20"/>
              </w:rPr>
              <w:t>4.</w:t>
            </w:r>
          </w:p>
        </w:tc>
        <w:tc>
          <w:tcPr>
            <w:tcW w:w="7455" w:type="dxa"/>
            <w:tcBorders>
              <w:top w:val="single" w:color="000000" w:sz="4" w:space="0"/>
              <w:left w:val="single" w:color="000000" w:sz="4" w:space="0"/>
              <w:bottom w:val="single" w:color="000000" w:sz="4" w:space="0"/>
              <w:right w:val="single" w:color="000000" w:sz="4" w:space="0"/>
            </w:tcBorders>
          </w:tcPr>
          <w:p>
            <w:pPr>
              <w:rPr>
                <w:sz w:val="20"/>
                <w:szCs w:val="20"/>
                <w:lang w:val="sr-Latn-ME"/>
              </w:rPr>
            </w:pPr>
            <w:r>
              <w:rPr>
                <w:sz w:val="20"/>
                <w:szCs w:val="20"/>
                <w:lang w:val="sr-Latn-ME"/>
              </w:rPr>
              <w:t>Amortizacija</w:t>
            </w:r>
          </w:p>
        </w:tc>
        <w:tc>
          <w:tcPr>
            <w:tcW w:w="1587" w:type="dxa"/>
            <w:tcBorders>
              <w:top w:val="single" w:color="000000" w:sz="4" w:space="0"/>
              <w:left w:val="single" w:color="000000" w:sz="4" w:space="0"/>
              <w:bottom w:val="single" w:color="000000" w:sz="4" w:space="0"/>
              <w:right w:val="double" w:color="000000" w:sz="4" w:space="0"/>
            </w:tcBorders>
          </w:tcPr>
          <w:p>
            <w:pPr>
              <w:jc w:val="right"/>
            </w:pPr>
            <w:r>
              <w:rPr>
                <w:sz w:val="20"/>
                <w:szCs w:val="20"/>
              </w:rPr>
              <w:t>226.503,68</w:t>
            </w:r>
          </w:p>
        </w:tc>
      </w:tr>
      <w:tr>
        <w:tblPrEx>
          <w:tblCellMar>
            <w:top w:w="0" w:type="dxa"/>
            <w:left w:w="108" w:type="dxa"/>
            <w:bottom w:w="0" w:type="dxa"/>
            <w:right w:w="108" w:type="dxa"/>
          </w:tblCellMar>
        </w:tblPrEx>
        <w:trPr>
          <w:jc w:val="center"/>
        </w:trPr>
        <w:tc>
          <w:tcPr>
            <w:tcW w:w="997" w:type="dxa"/>
            <w:tcBorders>
              <w:top w:val="single" w:color="000000" w:sz="4" w:space="0"/>
              <w:left w:val="double" w:color="000000" w:sz="4" w:space="0"/>
              <w:bottom w:val="single" w:color="000000" w:sz="4" w:space="0"/>
              <w:right w:val="single" w:color="000000" w:sz="4" w:space="0"/>
            </w:tcBorders>
          </w:tcPr>
          <w:p>
            <w:pPr>
              <w:rPr>
                <w:sz w:val="20"/>
                <w:szCs w:val="20"/>
              </w:rPr>
            </w:pPr>
            <w:r>
              <w:rPr>
                <w:sz w:val="20"/>
                <w:szCs w:val="20"/>
              </w:rPr>
              <w:t>5.</w:t>
            </w:r>
          </w:p>
        </w:tc>
        <w:tc>
          <w:tcPr>
            <w:tcW w:w="7455" w:type="dxa"/>
            <w:tcBorders>
              <w:top w:val="single" w:color="000000" w:sz="4" w:space="0"/>
              <w:left w:val="single" w:color="000000" w:sz="4" w:space="0"/>
              <w:bottom w:val="single" w:color="000000" w:sz="4" w:space="0"/>
              <w:right w:val="single" w:color="000000" w:sz="4" w:space="0"/>
            </w:tcBorders>
          </w:tcPr>
          <w:p>
            <w:r>
              <w:rPr>
                <w:sz w:val="20"/>
                <w:szCs w:val="20"/>
                <w:lang w:val="sr-Latn-ME"/>
              </w:rPr>
              <w:t>Ostala poslovna terećenja</w:t>
            </w:r>
            <w:r>
              <w:rPr>
                <w:sz w:val="20"/>
                <w:szCs w:val="20"/>
              </w:rPr>
              <w:t>:</w:t>
            </w:r>
          </w:p>
        </w:tc>
        <w:tc>
          <w:tcPr>
            <w:tcW w:w="1587" w:type="dxa"/>
            <w:tcBorders>
              <w:top w:val="single" w:color="000000" w:sz="4" w:space="0"/>
              <w:left w:val="single" w:color="000000" w:sz="4" w:space="0"/>
              <w:bottom w:val="single" w:color="000000" w:sz="4" w:space="0"/>
              <w:right w:val="double" w:color="000000" w:sz="4" w:space="0"/>
            </w:tcBorders>
          </w:tcPr>
          <w:p>
            <w:pPr>
              <w:jc w:val="right"/>
            </w:pPr>
            <w:r>
              <w:rPr>
                <w:sz w:val="20"/>
                <w:szCs w:val="20"/>
              </w:rPr>
              <w:t>78.651,86</w:t>
            </w:r>
          </w:p>
        </w:tc>
      </w:tr>
      <w:tr>
        <w:tblPrEx>
          <w:tblCellMar>
            <w:top w:w="0" w:type="dxa"/>
            <w:left w:w="108" w:type="dxa"/>
            <w:bottom w:w="0" w:type="dxa"/>
            <w:right w:w="108" w:type="dxa"/>
          </w:tblCellMar>
        </w:tblPrEx>
        <w:trPr>
          <w:jc w:val="center"/>
        </w:trPr>
        <w:tc>
          <w:tcPr>
            <w:tcW w:w="997" w:type="dxa"/>
            <w:vMerge w:val="restart"/>
            <w:tcBorders>
              <w:top w:val="single" w:color="000000" w:sz="4" w:space="0"/>
              <w:left w:val="double" w:color="000000" w:sz="4" w:space="0"/>
              <w:bottom w:val="single" w:color="000000" w:sz="4" w:space="0"/>
              <w:right w:val="single" w:color="000000" w:sz="4" w:space="0"/>
            </w:tcBorders>
          </w:tcPr>
          <w:p>
            <w:pPr>
              <w:snapToGrid w:val="0"/>
              <w:rPr>
                <w:sz w:val="20"/>
                <w:szCs w:val="20"/>
              </w:rPr>
            </w:pPr>
          </w:p>
        </w:tc>
        <w:tc>
          <w:tcPr>
            <w:tcW w:w="7455" w:type="dxa"/>
            <w:tcBorders>
              <w:top w:val="single" w:color="000000" w:sz="4" w:space="0"/>
              <w:left w:val="single" w:color="000000" w:sz="4" w:space="0"/>
              <w:bottom w:val="single" w:color="000000" w:sz="4" w:space="0"/>
              <w:right w:val="single" w:color="000000" w:sz="4" w:space="0"/>
            </w:tcBorders>
          </w:tcPr>
          <w:p>
            <w:pPr>
              <w:rPr>
                <w:sz w:val="20"/>
                <w:szCs w:val="20"/>
                <w:lang w:val="sr-Latn-ME"/>
              </w:rPr>
            </w:pPr>
            <w:r>
              <w:rPr>
                <w:sz w:val="20"/>
                <w:szCs w:val="20"/>
                <w:lang w:val="sr-Latn-ME"/>
              </w:rPr>
              <w:t>PTT I usluge prevoza</w:t>
            </w:r>
          </w:p>
        </w:tc>
        <w:tc>
          <w:tcPr>
            <w:tcW w:w="1587" w:type="dxa"/>
            <w:tcBorders>
              <w:top w:val="single" w:color="000000" w:sz="4" w:space="0"/>
              <w:left w:val="single" w:color="000000" w:sz="4" w:space="0"/>
              <w:bottom w:val="single" w:color="000000" w:sz="4" w:space="0"/>
              <w:right w:val="double" w:color="000000" w:sz="4" w:space="0"/>
            </w:tcBorders>
          </w:tcPr>
          <w:p>
            <w:pPr>
              <w:jc w:val="right"/>
            </w:pPr>
            <w:r>
              <w:rPr>
                <w:sz w:val="20"/>
                <w:szCs w:val="20"/>
              </w:rPr>
              <w:t>2.368,65</w:t>
            </w:r>
          </w:p>
        </w:tc>
      </w:tr>
      <w:tr>
        <w:tblPrEx>
          <w:tblCellMar>
            <w:top w:w="0" w:type="dxa"/>
            <w:left w:w="108" w:type="dxa"/>
            <w:bottom w:w="0" w:type="dxa"/>
            <w:right w:w="108" w:type="dxa"/>
          </w:tblCellMar>
        </w:tblPrEx>
        <w:trPr>
          <w:jc w:val="center"/>
        </w:trPr>
        <w:tc>
          <w:tcPr>
            <w:tcW w:w="997" w:type="dxa"/>
            <w:vMerge w:val="continue"/>
            <w:tcBorders>
              <w:top w:val="single" w:color="000000" w:sz="4" w:space="0"/>
              <w:left w:val="double" w:color="000000" w:sz="4" w:space="0"/>
              <w:bottom w:val="single" w:color="000000" w:sz="4" w:space="0"/>
              <w:right w:val="single" w:color="000000" w:sz="4" w:space="0"/>
            </w:tcBorders>
          </w:tcPr>
          <w:p>
            <w:pPr>
              <w:snapToGrid w:val="0"/>
              <w:rPr>
                <w:sz w:val="20"/>
                <w:szCs w:val="20"/>
              </w:rPr>
            </w:pPr>
          </w:p>
        </w:tc>
        <w:tc>
          <w:tcPr>
            <w:tcW w:w="7455" w:type="dxa"/>
            <w:tcBorders>
              <w:top w:val="single" w:color="000000" w:sz="4" w:space="0"/>
              <w:left w:val="single" w:color="000000" w:sz="4" w:space="0"/>
              <w:bottom w:val="single" w:color="000000" w:sz="4" w:space="0"/>
              <w:right w:val="single" w:color="000000" w:sz="4" w:space="0"/>
            </w:tcBorders>
          </w:tcPr>
          <w:p>
            <w:pPr>
              <w:rPr>
                <w:sz w:val="20"/>
                <w:szCs w:val="20"/>
                <w:lang w:val="sr-Latn-ME"/>
              </w:rPr>
            </w:pPr>
            <w:r>
              <w:rPr>
                <w:sz w:val="20"/>
                <w:szCs w:val="20"/>
                <w:lang w:val="sr-Latn-ME"/>
              </w:rPr>
              <w:t>Tekuće i investiciono održavanje objekata i opreme</w:t>
            </w:r>
          </w:p>
        </w:tc>
        <w:tc>
          <w:tcPr>
            <w:tcW w:w="1587" w:type="dxa"/>
            <w:tcBorders>
              <w:top w:val="single" w:color="000000" w:sz="4" w:space="0"/>
              <w:left w:val="single" w:color="000000" w:sz="4" w:space="0"/>
              <w:bottom w:val="single" w:color="000000" w:sz="4" w:space="0"/>
              <w:right w:val="double" w:color="000000" w:sz="4" w:space="0"/>
            </w:tcBorders>
          </w:tcPr>
          <w:p>
            <w:pPr>
              <w:jc w:val="right"/>
            </w:pPr>
            <w:r>
              <w:rPr>
                <w:sz w:val="20"/>
                <w:szCs w:val="20"/>
              </w:rPr>
              <w:t>23.458,12</w:t>
            </w:r>
          </w:p>
        </w:tc>
      </w:tr>
      <w:tr>
        <w:tblPrEx>
          <w:tblCellMar>
            <w:top w:w="0" w:type="dxa"/>
            <w:left w:w="108" w:type="dxa"/>
            <w:bottom w:w="0" w:type="dxa"/>
            <w:right w:w="108" w:type="dxa"/>
          </w:tblCellMar>
        </w:tblPrEx>
        <w:trPr>
          <w:jc w:val="center"/>
        </w:trPr>
        <w:tc>
          <w:tcPr>
            <w:tcW w:w="997" w:type="dxa"/>
            <w:vMerge w:val="continue"/>
            <w:tcBorders>
              <w:top w:val="single" w:color="000000" w:sz="4" w:space="0"/>
              <w:left w:val="double" w:color="000000" w:sz="4" w:space="0"/>
              <w:bottom w:val="single" w:color="000000" w:sz="4" w:space="0"/>
              <w:right w:val="single" w:color="000000" w:sz="4" w:space="0"/>
            </w:tcBorders>
          </w:tcPr>
          <w:p>
            <w:pPr>
              <w:snapToGrid w:val="0"/>
              <w:rPr>
                <w:sz w:val="20"/>
                <w:szCs w:val="20"/>
              </w:rPr>
            </w:pPr>
          </w:p>
        </w:tc>
        <w:tc>
          <w:tcPr>
            <w:tcW w:w="7455" w:type="dxa"/>
            <w:tcBorders>
              <w:top w:val="single" w:color="000000" w:sz="4" w:space="0"/>
              <w:left w:val="single" w:color="000000" w:sz="4" w:space="0"/>
              <w:bottom w:val="single" w:color="000000" w:sz="4" w:space="0"/>
              <w:right w:val="single" w:color="000000" w:sz="4" w:space="0"/>
            </w:tcBorders>
          </w:tcPr>
          <w:p>
            <w:pPr>
              <w:rPr>
                <w:sz w:val="20"/>
                <w:szCs w:val="20"/>
                <w:lang w:val="sr-Latn-ME"/>
              </w:rPr>
            </w:pPr>
            <w:r>
              <w:rPr>
                <w:sz w:val="20"/>
                <w:szCs w:val="20"/>
                <w:lang w:val="sr-Latn-ME"/>
              </w:rPr>
              <w:t>Troškovi reklame, sponzorstva, osiguranja zaposlenih, obezbjeđenje objekta, pravne usluge, usavršavanje zaposlenih, troškovi platnog prometa i ostali nematerijalni troškovi</w:t>
            </w:r>
          </w:p>
        </w:tc>
        <w:tc>
          <w:tcPr>
            <w:tcW w:w="1587" w:type="dxa"/>
            <w:tcBorders>
              <w:top w:val="single" w:color="000000" w:sz="4" w:space="0"/>
              <w:left w:val="single" w:color="000000" w:sz="4" w:space="0"/>
              <w:bottom w:val="single" w:color="000000" w:sz="4" w:space="0"/>
              <w:right w:val="double" w:color="000000" w:sz="4" w:space="0"/>
            </w:tcBorders>
          </w:tcPr>
          <w:p>
            <w:pPr>
              <w:jc w:val="right"/>
            </w:pPr>
            <w:r>
              <w:rPr>
                <w:sz w:val="20"/>
                <w:szCs w:val="20"/>
              </w:rPr>
              <w:t>2</w:t>
            </w:r>
            <w:r>
              <w:rPr>
                <w:sz w:val="20"/>
                <w:szCs w:val="20"/>
                <w:lang w:val="sr-Latn-ME"/>
              </w:rPr>
              <w:t>1</w:t>
            </w:r>
            <w:r>
              <w:rPr>
                <w:sz w:val="20"/>
                <w:szCs w:val="20"/>
              </w:rPr>
              <w:t>.</w:t>
            </w:r>
            <w:r>
              <w:rPr>
                <w:sz w:val="20"/>
                <w:szCs w:val="20"/>
                <w:lang w:val="sr-Latn-ME"/>
              </w:rPr>
              <w:t>863</w:t>
            </w:r>
            <w:r>
              <w:rPr>
                <w:sz w:val="20"/>
                <w:szCs w:val="20"/>
              </w:rPr>
              <w:t>,90</w:t>
            </w:r>
          </w:p>
        </w:tc>
      </w:tr>
      <w:tr>
        <w:tblPrEx>
          <w:tblCellMar>
            <w:top w:w="0" w:type="dxa"/>
            <w:left w:w="108" w:type="dxa"/>
            <w:bottom w:w="0" w:type="dxa"/>
            <w:right w:w="108" w:type="dxa"/>
          </w:tblCellMar>
        </w:tblPrEx>
        <w:trPr>
          <w:jc w:val="center"/>
        </w:trPr>
        <w:tc>
          <w:tcPr>
            <w:tcW w:w="997" w:type="dxa"/>
            <w:vMerge w:val="continue"/>
            <w:tcBorders>
              <w:top w:val="single" w:color="000000" w:sz="4" w:space="0"/>
              <w:left w:val="double" w:color="000000" w:sz="4" w:space="0"/>
              <w:bottom w:val="single" w:color="000000" w:sz="4" w:space="0"/>
              <w:right w:val="single" w:color="000000" w:sz="4" w:space="0"/>
            </w:tcBorders>
          </w:tcPr>
          <w:p>
            <w:pPr>
              <w:snapToGrid w:val="0"/>
              <w:rPr>
                <w:sz w:val="20"/>
                <w:szCs w:val="20"/>
              </w:rPr>
            </w:pPr>
          </w:p>
        </w:tc>
        <w:tc>
          <w:tcPr>
            <w:tcW w:w="7455" w:type="dxa"/>
            <w:tcBorders>
              <w:top w:val="single" w:color="000000" w:sz="4" w:space="0"/>
              <w:left w:val="single" w:color="000000" w:sz="4" w:space="0"/>
              <w:bottom w:val="single" w:color="000000" w:sz="4" w:space="0"/>
              <w:right w:val="single" w:color="000000" w:sz="4" w:space="0"/>
            </w:tcBorders>
          </w:tcPr>
          <w:p>
            <w:pPr>
              <w:rPr>
                <w:sz w:val="20"/>
                <w:szCs w:val="20"/>
                <w:lang w:val="sr-Latn-ME"/>
              </w:rPr>
            </w:pPr>
            <w:r>
              <w:rPr>
                <w:sz w:val="20"/>
                <w:szCs w:val="20"/>
                <w:lang w:val="sr-Latn-ME"/>
              </w:rPr>
              <w:t>Ostali poslovni rashodi - troškovi vode, komunalnih usluga, zaštita na radu i ostale opšte usluge</w:t>
            </w:r>
          </w:p>
        </w:tc>
        <w:tc>
          <w:tcPr>
            <w:tcW w:w="1587" w:type="dxa"/>
            <w:tcBorders>
              <w:top w:val="single" w:color="000000" w:sz="4" w:space="0"/>
              <w:left w:val="single" w:color="000000" w:sz="4" w:space="0"/>
              <w:bottom w:val="single" w:color="000000" w:sz="4" w:space="0"/>
              <w:right w:val="double" w:color="000000" w:sz="4" w:space="0"/>
            </w:tcBorders>
          </w:tcPr>
          <w:p>
            <w:pPr>
              <w:jc w:val="right"/>
            </w:pPr>
            <w:r>
              <w:rPr>
                <w:sz w:val="20"/>
                <w:szCs w:val="20"/>
              </w:rPr>
              <w:t>30.</w:t>
            </w:r>
            <w:r>
              <w:rPr>
                <w:sz w:val="20"/>
                <w:szCs w:val="20"/>
                <w:lang w:val="sr-Latn-ME"/>
              </w:rPr>
              <w:t>961</w:t>
            </w:r>
            <w:r>
              <w:rPr>
                <w:sz w:val="20"/>
                <w:szCs w:val="20"/>
              </w:rPr>
              <w:t>,19</w:t>
            </w:r>
          </w:p>
        </w:tc>
      </w:tr>
      <w:tr>
        <w:tblPrEx>
          <w:tblCellMar>
            <w:top w:w="0" w:type="dxa"/>
            <w:left w:w="108" w:type="dxa"/>
            <w:bottom w:w="0" w:type="dxa"/>
            <w:right w:w="108" w:type="dxa"/>
          </w:tblCellMar>
        </w:tblPrEx>
        <w:trPr>
          <w:jc w:val="center"/>
        </w:trPr>
        <w:tc>
          <w:tcPr>
            <w:tcW w:w="997" w:type="dxa"/>
            <w:tcBorders>
              <w:top w:val="single" w:color="000000" w:sz="4" w:space="0"/>
              <w:left w:val="double" w:color="000000" w:sz="4" w:space="0"/>
              <w:bottom w:val="double" w:color="000000" w:sz="4" w:space="0"/>
              <w:right w:val="single" w:color="000000" w:sz="4" w:space="0"/>
            </w:tcBorders>
          </w:tcPr>
          <w:p>
            <w:pPr>
              <w:rPr>
                <w:sz w:val="20"/>
                <w:szCs w:val="20"/>
              </w:rPr>
            </w:pPr>
            <w:r>
              <w:rPr>
                <w:sz w:val="20"/>
                <w:szCs w:val="20"/>
              </w:rPr>
              <w:t>6.</w:t>
            </w:r>
          </w:p>
        </w:tc>
        <w:tc>
          <w:tcPr>
            <w:tcW w:w="7455" w:type="dxa"/>
            <w:tcBorders>
              <w:top w:val="single" w:color="000000" w:sz="4" w:space="0"/>
              <w:left w:val="single" w:color="000000" w:sz="4" w:space="0"/>
              <w:bottom w:val="double" w:color="000000" w:sz="4" w:space="0"/>
              <w:right w:val="single" w:color="000000" w:sz="4" w:space="0"/>
            </w:tcBorders>
          </w:tcPr>
          <w:p>
            <w:pPr>
              <w:rPr>
                <w:sz w:val="20"/>
                <w:szCs w:val="20"/>
                <w:lang w:val="sr-Latn-ME"/>
              </w:rPr>
            </w:pPr>
            <w:r>
              <w:rPr>
                <w:sz w:val="20"/>
                <w:szCs w:val="20"/>
                <w:lang w:val="sr-Latn-ME"/>
              </w:rPr>
              <w:t>Neto finansijski trošak</w:t>
            </w:r>
          </w:p>
        </w:tc>
        <w:tc>
          <w:tcPr>
            <w:tcW w:w="1587" w:type="dxa"/>
            <w:tcBorders>
              <w:top w:val="single" w:color="000000" w:sz="4" w:space="0"/>
              <w:left w:val="single" w:color="000000" w:sz="4" w:space="0"/>
              <w:bottom w:val="double" w:color="000000" w:sz="4" w:space="0"/>
              <w:right w:val="double" w:color="000000" w:sz="4" w:space="0"/>
            </w:tcBorders>
          </w:tcPr>
          <w:p>
            <w:pPr>
              <w:jc w:val="right"/>
            </w:pPr>
            <w:r>
              <w:rPr>
                <w:sz w:val="20"/>
                <w:szCs w:val="20"/>
              </w:rPr>
              <w:t>267,14</w:t>
            </w:r>
          </w:p>
        </w:tc>
      </w:tr>
      <w:tr>
        <w:tblPrEx>
          <w:tblCellMar>
            <w:top w:w="0" w:type="dxa"/>
            <w:left w:w="108" w:type="dxa"/>
            <w:bottom w:w="0" w:type="dxa"/>
            <w:right w:w="108" w:type="dxa"/>
          </w:tblCellMar>
        </w:tblPrEx>
        <w:trPr>
          <w:jc w:val="center"/>
        </w:trPr>
        <w:tc>
          <w:tcPr>
            <w:tcW w:w="8452" w:type="dxa"/>
            <w:gridSpan w:val="2"/>
            <w:tcBorders>
              <w:top w:val="double" w:color="000000" w:sz="4" w:space="0"/>
              <w:left w:val="double" w:color="000000" w:sz="4" w:space="0"/>
              <w:bottom w:val="double" w:color="000000" w:sz="4" w:space="0"/>
              <w:right w:val="double" w:color="000000" w:sz="4" w:space="0"/>
            </w:tcBorders>
            <w:shd w:val="clear" w:color="auto" w:fill="F2DBDB"/>
          </w:tcPr>
          <w:p>
            <w:pPr>
              <w:jc w:val="center"/>
              <w:rPr>
                <w:b/>
                <w:sz w:val="20"/>
                <w:szCs w:val="20"/>
                <w:lang w:val="sr-Latn-ME"/>
              </w:rPr>
            </w:pPr>
            <w:r>
              <w:rPr>
                <w:b/>
                <w:sz w:val="20"/>
                <w:szCs w:val="20"/>
                <w:lang w:val="sr-Latn-ME"/>
              </w:rPr>
              <w:t>UKUPNI RASHODI</w:t>
            </w:r>
          </w:p>
        </w:tc>
        <w:tc>
          <w:tcPr>
            <w:tcW w:w="1587" w:type="dxa"/>
            <w:tcBorders>
              <w:top w:val="double" w:color="000000" w:sz="4" w:space="0"/>
              <w:left w:val="double" w:color="000000" w:sz="4" w:space="0"/>
              <w:bottom w:val="double" w:color="000000" w:sz="4" w:space="0"/>
              <w:right w:val="double" w:color="000000" w:sz="4" w:space="0"/>
            </w:tcBorders>
            <w:shd w:val="clear" w:color="auto" w:fill="F2DBDB"/>
          </w:tcPr>
          <w:p>
            <w:pPr>
              <w:jc w:val="right"/>
            </w:pPr>
            <w:r>
              <w:rPr>
                <w:b/>
                <w:sz w:val="20"/>
                <w:szCs w:val="20"/>
              </w:rPr>
              <w:t>1.033.482,15</w:t>
            </w:r>
          </w:p>
        </w:tc>
      </w:tr>
    </w:tbl>
    <w:p>
      <w:pPr>
        <w:ind w:firstLine="720"/>
        <w:jc w:val="both"/>
        <w:rPr>
          <w:sz w:val="24"/>
          <w:szCs w:val="24"/>
          <w:lang w:val="sr-Latn-ME"/>
        </w:rPr>
      </w:pPr>
      <w:r>
        <w:rPr>
          <w:sz w:val="24"/>
          <w:szCs w:val="24"/>
          <w:lang w:val="sr-Latn-ME"/>
        </w:rPr>
        <w:t xml:space="preserve">U dijelu osnovne djelatnosti - pružanje usluga izdavanja u zakup sportske dvorane sportskim klubovima  i rekreativcima ostvareno je  200.262,96 € prihoda, ili 17,57 % prihoda sportske dvorane sa pratećim sadržajima i dotacijama. </w:t>
      </w:r>
    </w:p>
    <w:p>
      <w:pPr>
        <w:ind w:firstLine="720"/>
        <w:jc w:val="both"/>
        <w:rPr>
          <w:sz w:val="24"/>
          <w:szCs w:val="24"/>
          <w:lang w:val="sr-Latn-ME"/>
        </w:rPr>
      </w:pPr>
      <w:r>
        <w:rPr>
          <w:sz w:val="24"/>
          <w:szCs w:val="24"/>
          <w:lang w:val="sr-Latn-ME"/>
        </w:rPr>
        <w:t>Troškovi za zarade i naknade zarada sa doprinosima poslodavca i druga lična primanja radnika zaposlenih u ovim sadržajima iznose 650.086,90 €. U realizaciji prihoda dvorane sa pratećim sadržajima angažovano je najviše poslovnog potencijala, najviše troškova investicionog i tekućeg održavanja objekata i opreme, utrošaka energenata i ostalih izdataka nephodnih za rad dvorane.</w:t>
      </w:r>
    </w:p>
    <w:p>
      <w:pPr>
        <w:ind w:firstLine="720"/>
        <w:jc w:val="both"/>
        <w:rPr>
          <w:sz w:val="24"/>
          <w:szCs w:val="24"/>
          <w:lang w:val="sr-Latn-ME"/>
        </w:rPr>
      </w:pPr>
      <w:r>
        <w:rPr>
          <w:sz w:val="24"/>
          <w:szCs w:val="24"/>
          <w:lang w:val="sr-Latn-ME"/>
        </w:rPr>
        <w:t>Prihodi ostvareni od sportskih sadržaja i prihodi pratećih sadržaja ( poslovni i reklamni prostori i refundacije ) iznose 349.430,48 €, pa sama amortizacija čini 64,82 % prihoda. Uprkos rashodima, koji su uglavnom uslovljeni karakteristikama objekta, njegovom velikom površinom, kao što su troškovi električne energije, plina, tekućeg i investicionog održavanja koji se odnose na ove sadržaje od 96.298,67 €, preduzeće je u okviru osnovne djelatnosti ostvarila pozitivan rezultat u poslovanju u iznosu od 106.008,37 €.</w:t>
      </w:r>
    </w:p>
    <w:p>
      <w:pPr>
        <w:ind w:firstLine="720"/>
        <w:jc w:val="both"/>
        <w:rPr>
          <w:sz w:val="24"/>
          <w:szCs w:val="24"/>
          <w:lang w:val="sr-Latn-ME"/>
        </w:rPr>
      </w:pPr>
    </w:p>
    <w:p>
      <w:pPr>
        <w:pStyle w:val="3"/>
        <w:rPr>
          <w:rFonts w:hint="eastAsia" w:ascii="Lucida Sans Unicode" w:hAnsi="Lucida Sans Unicode" w:cs="Lucida Sans Unicode"/>
        </w:rPr>
      </w:pPr>
      <w:bookmarkStart w:id="8" w:name="__RefHeading___Toc2268_3382316548"/>
      <w:bookmarkEnd w:id="8"/>
      <w:bookmarkStart w:id="9" w:name="_Toc160109707"/>
      <w:r>
        <w:rPr>
          <w:rFonts w:ascii="Lucida Sans Unicode" w:hAnsi="Lucida Sans Unicode" w:cs="Lucida Sans Unicode"/>
        </w:rPr>
        <w:t xml:space="preserve">2.2. </w:t>
      </w:r>
      <w:r>
        <w:rPr>
          <w:rFonts w:ascii="Lucida Sans Unicode" w:hAnsi="Lucida Sans Unicode" w:cs="Lucida Sans Unicode"/>
          <w:lang w:val="sr-Latn-ME"/>
        </w:rPr>
        <w:t xml:space="preserve"> Aktivnosti i korištenje kapaciteta u pružanju usluga bazena</w:t>
      </w:r>
      <w:bookmarkEnd w:id="9"/>
      <w:r>
        <w:rPr>
          <w:rFonts w:ascii="Lucida Sans Unicode" w:hAnsi="Lucida Sans Unicode" w:cs="Lucida Sans Unicode"/>
          <w:lang w:val="sr-Latn-ME"/>
        </w:rPr>
        <w:t xml:space="preserve"> </w:t>
      </w:r>
    </w:p>
    <w:p>
      <w:pPr>
        <w:rPr>
          <w:sz w:val="26"/>
          <w:szCs w:val="26"/>
        </w:rPr>
      </w:pPr>
    </w:p>
    <w:p>
      <w:pPr>
        <w:pStyle w:val="30"/>
        <w:ind w:firstLine="390"/>
        <w:jc w:val="both"/>
        <w:rPr>
          <w:sz w:val="24"/>
          <w:szCs w:val="24"/>
          <w:lang w:val="sr-Latn-ME"/>
        </w:rPr>
      </w:pPr>
      <w:r>
        <w:rPr>
          <w:sz w:val="24"/>
          <w:szCs w:val="24"/>
          <w:lang w:val="sr-Latn-ME"/>
        </w:rPr>
        <w:t xml:space="preserve">Tokom 2023. godine bazen je korišten nepunih osam mjeseci. Usluge bazena u 2023. godini koristilo je 51.703 korisnika dok je ukupan prihod bazena u 2023-oj godini iznosio 93.387,89 €. </w:t>
      </w:r>
    </w:p>
    <w:p>
      <w:pPr>
        <w:pStyle w:val="30"/>
        <w:ind w:firstLine="390"/>
        <w:jc w:val="both"/>
        <w:rPr>
          <w:rFonts w:ascii="Calibri" w:hAnsi="Calibri" w:cs="Calibri"/>
          <w:sz w:val="26"/>
          <w:szCs w:val="26"/>
        </w:rPr>
      </w:pPr>
    </w:p>
    <w:p>
      <w:pPr>
        <w:jc w:val="center"/>
        <w:rPr>
          <w:sz w:val="20"/>
          <w:szCs w:val="20"/>
        </w:rPr>
      </w:pPr>
      <w:r>
        <w:rPr>
          <w:i/>
          <w:sz w:val="20"/>
          <w:szCs w:val="20"/>
          <w:lang w:val="sr-Latn-ME"/>
        </w:rPr>
        <w:t>Slika br</w:t>
      </w:r>
      <w:r>
        <w:rPr>
          <w:i/>
          <w:sz w:val="20"/>
          <w:szCs w:val="20"/>
        </w:rPr>
        <w:t xml:space="preserve">.3 : </w:t>
      </w:r>
      <w:r>
        <w:rPr>
          <w:i/>
          <w:sz w:val="20"/>
          <w:szCs w:val="20"/>
          <w:lang w:val="sr-Latn-ME"/>
        </w:rPr>
        <w:t>Bazen  J.P. “Sportski centar Nikšić”</w:t>
      </w:r>
    </w:p>
    <w:p>
      <w:pPr>
        <w:jc w:val="center"/>
      </w:pPr>
      <w:r>
        <w:rPr>
          <w:rFonts w:eastAsia="Calibri" w:cs="Calibri"/>
          <w:color w:val="000000"/>
        </w:rPr>
        <w:t xml:space="preserve"> </w:t>
      </w:r>
      <w:r>
        <w:drawing>
          <wp:inline distT="0" distB="0" distL="0" distR="0">
            <wp:extent cx="4460240" cy="2962910"/>
            <wp:effectExtent l="0" t="0" r="0" b="0"/>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5"/>
                    <pic:cNvPicPr>
                      <a:picLocks noChangeAspect="1" noChangeArrowheads="1"/>
                    </pic:cNvPicPr>
                  </pic:nvPicPr>
                  <pic:blipFill>
                    <a:blip r:embed="rId14"/>
                    <a:stretch>
                      <a:fillRect/>
                    </a:stretch>
                  </pic:blipFill>
                  <pic:spPr>
                    <a:xfrm>
                      <a:off x="0" y="0"/>
                      <a:ext cx="4460240" cy="2962910"/>
                    </a:xfrm>
                    <a:prstGeom prst="rect">
                      <a:avLst/>
                    </a:prstGeom>
                  </pic:spPr>
                </pic:pic>
              </a:graphicData>
            </a:graphic>
          </wp:inline>
        </w:drawing>
      </w:r>
    </w:p>
    <w:p>
      <w:pPr>
        <w:ind w:firstLine="390"/>
        <w:jc w:val="both"/>
        <w:rPr>
          <w:sz w:val="24"/>
          <w:szCs w:val="24"/>
          <w:lang w:val="sr-Latn-CS"/>
        </w:rPr>
      </w:pPr>
      <w:r>
        <w:rPr>
          <w:sz w:val="24"/>
          <w:szCs w:val="24"/>
          <w:lang w:val="sr-Latn-CS"/>
        </w:rPr>
        <w:t>Preduzeće je organizovalo školu plivanja tokom 2023 godine i istu je pohađalo oko 280 polaznika.</w:t>
      </w:r>
    </w:p>
    <w:p>
      <w:pPr>
        <w:ind w:firstLine="390"/>
        <w:jc w:val="both"/>
        <w:rPr>
          <w:sz w:val="24"/>
          <w:szCs w:val="24"/>
          <w:lang w:val="sr-Latn-ME"/>
        </w:rPr>
      </w:pPr>
      <w:r>
        <w:rPr>
          <w:sz w:val="24"/>
          <w:szCs w:val="24"/>
          <w:lang w:val="sr-Latn-ME"/>
        </w:rPr>
        <w:t xml:space="preserve">Iznos ostvarenih prihoda bi bio daleko veći da je bazen radio u punom kapacitetu a samim time i rezultat poslovanja bi bio pozitivniji. </w:t>
      </w:r>
    </w:p>
    <w:p>
      <w:pPr>
        <w:pStyle w:val="3"/>
        <w:rPr>
          <w:rFonts w:hint="eastAsia" w:ascii="Lucida Sans Unicode" w:hAnsi="Lucida Sans Unicode" w:cs="Lucida Sans Unicode"/>
        </w:rPr>
      </w:pPr>
      <w:bookmarkStart w:id="10" w:name="__RefHeading___Toc2270_3382316548"/>
      <w:bookmarkEnd w:id="10"/>
      <w:bookmarkStart w:id="11" w:name="_Toc160109708"/>
      <w:r>
        <w:rPr>
          <w:rFonts w:ascii="Lucida Sans Unicode" w:hAnsi="Lucida Sans Unicode" w:cs="Lucida Sans Unicode"/>
        </w:rPr>
        <w:t xml:space="preserve">2.3. </w:t>
      </w:r>
      <w:r>
        <w:rPr>
          <w:rFonts w:ascii="Lucida Sans Unicode" w:hAnsi="Lucida Sans Unicode" w:cs="Lucida Sans Unicode"/>
          <w:lang w:val="sr-Latn-ME"/>
        </w:rPr>
        <w:t>Aktivnosti i korištenje kapaciteta u pružanju usluga teretane</w:t>
      </w:r>
      <w:bookmarkEnd w:id="11"/>
      <w:r>
        <w:rPr>
          <w:rFonts w:ascii="Lucida Sans Unicode" w:hAnsi="Lucida Sans Unicode" w:cs="Lucida Sans Unicode"/>
          <w:lang w:val="sr-Latn-ME"/>
        </w:rPr>
        <w:t xml:space="preserve"> </w:t>
      </w:r>
    </w:p>
    <w:p>
      <w:pPr>
        <w:ind w:firstLine="720"/>
        <w:jc w:val="both"/>
        <w:rPr>
          <w:sz w:val="24"/>
          <w:szCs w:val="24"/>
          <w:lang w:val="sr-Latn-ME"/>
        </w:rPr>
      </w:pPr>
      <w:r>
        <w:rPr>
          <w:sz w:val="24"/>
          <w:szCs w:val="24"/>
          <w:lang w:val="sr-Latn-ME"/>
        </w:rPr>
        <w:t xml:space="preserve">Teretana je korištena za potrebe organizovanih grupa i pojedinaca. Ukupan prihod ostvaren od ovog sadržaja iznosi 2.099,81 € i manji je u odnosu na prethodnu godinu za 31 %. </w:t>
      </w:r>
    </w:p>
    <w:p>
      <w:pPr>
        <w:jc w:val="both"/>
        <w:rPr>
          <w:sz w:val="24"/>
          <w:szCs w:val="24"/>
        </w:rPr>
      </w:pPr>
    </w:p>
    <w:p>
      <w:pPr>
        <w:ind w:firstLine="720"/>
        <w:jc w:val="center"/>
        <w:rPr>
          <w:sz w:val="20"/>
          <w:szCs w:val="20"/>
        </w:rPr>
      </w:pPr>
      <w:r>
        <w:rPr>
          <w:i/>
          <w:sz w:val="20"/>
          <w:szCs w:val="20"/>
          <w:lang w:val="sr-Latn-ME"/>
        </w:rPr>
        <w:t>Slika</w:t>
      </w:r>
      <w:r>
        <w:rPr>
          <w:i/>
          <w:sz w:val="20"/>
          <w:szCs w:val="20"/>
        </w:rPr>
        <w:t xml:space="preserve"> 4.: Т</w:t>
      </w:r>
      <w:r>
        <w:rPr>
          <w:i/>
          <w:sz w:val="20"/>
          <w:szCs w:val="20"/>
          <w:lang w:val="sr-Latn-ME"/>
        </w:rPr>
        <w:t>eretana</w:t>
      </w:r>
      <w:r>
        <w:rPr>
          <w:i/>
          <w:sz w:val="20"/>
          <w:szCs w:val="20"/>
        </w:rPr>
        <w:t xml:space="preserve"> Ј.</w:t>
      </w:r>
      <w:r>
        <w:rPr>
          <w:i/>
          <w:sz w:val="20"/>
          <w:szCs w:val="20"/>
          <w:lang w:val="sr-Latn-ME"/>
        </w:rPr>
        <w:t>P</w:t>
      </w:r>
      <w:r>
        <w:rPr>
          <w:i/>
          <w:sz w:val="20"/>
          <w:szCs w:val="20"/>
        </w:rPr>
        <w:t xml:space="preserve">. </w:t>
      </w:r>
      <w:r>
        <w:rPr>
          <w:i/>
          <w:sz w:val="20"/>
          <w:szCs w:val="20"/>
          <w:lang w:val="sr-Latn-ME"/>
        </w:rPr>
        <w:t>“Sportski centar Nikšić”</w:t>
      </w:r>
    </w:p>
    <w:p>
      <w:pPr>
        <w:ind w:firstLine="720"/>
        <w:jc w:val="center"/>
        <w:rPr>
          <w:sz w:val="26"/>
          <w:szCs w:val="26"/>
        </w:rPr>
      </w:pPr>
      <w:r>
        <w:drawing>
          <wp:inline distT="0" distB="0" distL="0" distR="0">
            <wp:extent cx="3456305" cy="2285365"/>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noChangeArrowheads="1"/>
                    </pic:cNvPicPr>
                  </pic:nvPicPr>
                  <pic:blipFill>
                    <a:blip r:embed="rId15"/>
                    <a:srcRect l="-24" t="-36" r="-24" b="-36"/>
                    <a:stretch>
                      <a:fillRect/>
                    </a:stretch>
                  </pic:blipFill>
                  <pic:spPr>
                    <a:xfrm>
                      <a:off x="0" y="0"/>
                      <a:ext cx="3456305" cy="2285365"/>
                    </a:xfrm>
                    <a:prstGeom prst="rect">
                      <a:avLst/>
                    </a:prstGeom>
                  </pic:spPr>
                </pic:pic>
              </a:graphicData>
            </a:graphic>
          </wp:inline>
        </w:drawing>
      </w:r>
    </w:p>
    <w:p>
      <w:pPr>
        <w:ind w:firstLine="720"/>
        <w:jc w:val="center"/>
        <w:rPr>
          <w:sz w:val="26"/>
          <w:szCs w:val="26"/>
        </w:rPr>
      </w:pPr>
    </w:p>
    <w:p>
      <w:pPr>
        <w:ind w:firstLine="720"/>
        <w:jc w:val="both"/>
        <w:rPr>
          <w:sz w:val="24"/>
          <w:szCs w:val="24"/>
          <w:lang w:val="sr-Latn-ME"/>
        </w:rPr>
      </w:pPr>
      <w:r>
        <w:rPr>
          <w:sz w:val="24"/>
          <w:szCs w:val="24"/>
          <w:lang w:val="sr-Latn-ME"/>
        </w:rPr>
        <w:t xml:space="preserve">Imajući u vidu infrastrukuturu teretane i zastarjelost rekvizita ista je stavljena  van funkcije za građane pa ovako konstantan pad prihoda nije neočekivan. </w:t>
      </w:r>
    </w:p>
    <w:p>
      <w:pPr>
        <w:pStyle w:val="3"/>
        <w:rPr>
          <w:rFonts w:hint="eastAsia" w:ascii="Lucida Sans Unicode" w:hAnsi="Lucida Sans Unicode" w:cs="Lucida Sans Unicode"/>
        </w:rPr>
      </w:pPr>
      <w:bookmarkStart w:id="12" w:name="__RefHeading___Toc2272_3382316548"/>
      <w:bookmarkEnd w:id="12"/>
      <w:bookmarkStart w:id="13" w:name="_Toc160109709"/>
      <w:r>
        <w:rPr>
          <w:rFonts w:ascii="Lucida Sans Unicode" w:hAnsi="Lucida Sans Unicode" w:cs="Lucida Sans Unicode"/>
        </w:rPr>
        <w:t xml:space="preserve">2.4. </w:t>
      </w:r>
      <w:r>
        <w:rPr>
          <w:rFonts w:ascii="Lucida Sans Unicode" w:hAnsi="Lucida Sans Unicode" w:cs="Lucida Sans Unicode"/>
          <w:lang w:val="sr-Latn-ME"/>
        </w:rPr>
        <w:t>Aktivnosti i korištenje kapaciteta terena na otvorenom</w:t>
      </w:r>
      <w:bookmarkEnd w:id="13"/>
      <w:r>
        <w:rPr>
          <w:rFonts w:ascii="Lucida Sans Unicode" w:hAnsi="Lucida Sans Unicode" w:cs="Lucida Sans Unicode"/>
          <w:lang w:val="sr-Latn-ME"/>
        </w:rPr>
        <w:t xml:space="preserve"> </w:t>
      </w:r>
    </w:p>
    <w:p>
      <w:pPr>
        <w:ind w:firstLine="390"/>
        <w:jc w:val="both"/>
        <w:rPr>
          <w:sz w:val="24"/>
          <w:szCs w:val="24"/>
          <w:lang w:val="sr-Latn-ME"/>
        </w:rPr>
      </w:pPr>
      <w:r>
        <w:rPr>
          <w:sz w:val="24"/>
          <w:szCs w:val="24"/>
          <w:lang w:val="sr-Latn-ME"/>
        </w:rPr>
        <w:t xml:space="preserve">Otvoreni tereni u Nikšiću, zadnjih nekoliko godina su glavno mjesto nikšićkog sporta i rekreacije, ali i mjesto druženja za mnogobrojne odrasle   građane, ali i djecu. Stalnim ulaganjem u infrastrukturu i širenjem ponude, građanima je dostupan sve veći broj sportskih terena koje mogu koristiti u slobodno vrijeme. Sportski centar Nikšić se trenutno može pohvaliti s dva teniska i jednim fudbalskim terenom sa vještačkom travom ( Mini Pitch ). </w:t>
      </w:r>
    </w:p>
    <w:p>
      <w:pPr>
        <w:pStyle w:val="4"/>
        <w:numPr>
          <w:ilvl w:val="0"/>
          <w:numId w:val="0"/>
        </w:numPr>
        <w:ind w:left="29"/>
        <w:jc w:val="left"/>
        <w:rPr>
          <w:sz w:val="26"/>
          <w:szCs w:val="26"/>
        </w:rPr>
      </w:pPr>
    </w:p>
    <w:p>
      <w:pPr>
        <w:ind w:left="29" w:right="29"/>
        <w:rPr>
          <w:sz w:val="26"/>
          <w:szCs w:val="26"/>
        </w:rPr>
      </w:pPr>
    </w:p>
    <w:p>
      <w:pPr>
        <w:ind w:left="29" w:right="29"/>
        <w:rPr>
          <w:sz w:val="26"/>
          <w:szCs w:val="26"/>
        </w:rPr>
      </w:pPr>
    </w:p>
    <w:p>
      <w:pPr>
        <w:ind w:left="29" w:right="29"/>
        <w:rPr>
          <w:sz w:val="26"/>
          <w:szCs w:val="26"/>
        </w:rPr>
      </w:pPr>
    </w:p>
    <w:p>
      <w:pPr>
        <w:ind w:left="29" w:right="29"/>
        <w:rPr>
          <w:sz w:val="26"/>
          <w:szCs w:val="26"/>
        </w:rPr>
      </w:pPr>
    </w:p>
    <w:p>
      <w:pPr>
        <w:ind w:left="29" w:right="29"/>
        <w:rPr>
          <w:sz w:val="26"/>
          <w:szCs w:val="26"/>
        </w:rPr>
      </w:pPr>
    </w:p>
    <w:p>
      <w:pPr>
        <w:ind w:left="29" w:right="29"/>
        <w:rPr>
          <w:sz w:val="26"/>
          <w:szCs w:val="26"/>
        </w:rPr>
      </w:pPr>
    </w:p>
    <w:p>
      <w:pPr>
        <w:pStyle w:val="5"/>
        <w:rPr>
          <w:lang w:val="sr-Latn-ME"/>
        </w:rPr>
      </w:pPr>
      <w:r>
        <w:rPr>
          <w:lang w:val="sr-Latn-ME"/>
        </w:rPr>
        <w:t>Fudbalski teren</w:t>
      </w:r>
    </w:p>
    <w:p>
      <w:pPr>
        <w:ind w:firstLine="720"/>
        <w:jc w:val="both"/>
        <w:rPr>
          <w:sz w:val="24"/>
          <w:szCs w:val="24"/>
          <w:lang w:val="sr-Latn-ME"/>
        </w:rPr>
      </w:pPr>
      <w:r>
        <w:rPr>
          <w:rFonts w:eastAsia="Calibri" w:cs="Calibri"/>
          <w:sz w:val="26"/>
          <w:szCs w:val="26"/>
        </w:rPr>
        <w:t xml:space="preserve"> </w:t>
      </w:r>
      <w:r>
        <w:rPr>
          <w:sz w:val="24"/>
          <w:szCs w:val="24"/>
          <w:lang w:val="sr-Latn-ME"/>
        </w:rPr>
        <w:t>Fudbalski teren je u 2023 godini korišten ukupno 571 sati ili 17 sati manje nego prethodne godine, a ostvareni prihod je veći za 1.902,45 € iz razloga povoljnije strukture iskorištenih sati.</w:t>
      </w:r>
    </w:p>
    <w:p>
      <w:pPr>
        <w:ind w:firstLine="720"/>
        <w:jc w:val="both"/>
        <w:rPr>
          <w:sz w:val="24"/>
          <w:szCs w:val="24"/>
          <w:lang w:val="sr-Latn-ME"/>
        </w:rPr>
      </w:pPr>
    </w:p>
    <w:p>
      <w:pPr>
        <w:ind w:firstLine="720"/>
        <w:jc w:val="center"/>
        <w:rPr>
          <w:sz w:val="20"/>
          <w:szCs w:val="20"/>
        </w:rPr>
      </w:pPr>
      <w:r>
        <w:rPr>
          <w:rFonts w:eastAsia="SimSun" w:cs="Calibri"/>
          <w:bCs/>
          <w:i/>
          <w:sz w:val="20"/>
          <w:szCs w:val="20"/>
          <w:lang w:val="sr-Latn-ME"/>
        </w:rPr>
        <w:t>Slika br</w:t>
      </w:r>
      <w:r>
        <w:rPr>
          <w:rFonts w:eastAsia="SimSun" w:cs="Calibri"/>
          <w:bCs/>
          <w:i/>
          <w:sz w:val="20"/>
          <w:szCs w:val="20"/>
        </w:rPr>
        <w:t xml:space="preserve">.5: </w:t>
      </w:r>
      <w:r>
        <w:rPr>
          <w:rFonts w:eastAsia="SimSun" w:cs="Calibri"/>
          <w:bCs/>
          <w:i/>
          <w:sz w:val="20"/>
          <w:szCs w:val="20"/>
          <w:lang w:val="sr-Latn-ME"/>
        </w:rPr>
        <w:t xml:space="preserve">Fudbalski teren </w:t>
      </w:r>
      <w:r>
        <w:rPr>
          <w:rFonts w:eastAsia="SimSun" w:cs="Calibri"/>
          <w:bCs/>
          <w:i/>
          <w:sz w:val="20"/>
          <w:szCs w:val="20"/>
        </w:rPr>
        <w:t xml:space="preserve"> Ј.</w:t>
      </w:r>
      <w:r>
        <w:rPr>
          <w:rFonts w:eastAsia="SimSun" w:cs="Calibri"/>
          <w:bCs/>
          <w:i/>
          <w:sz w:val="20"/>
          <w:szCs w:val="20"/>
          <w:lang w:val="sr-Latn-ME"/>
        </w:rPr>
        <w:t>P</w:t>
      </w:r>
      <w:r>
        <w:rPr>
          <w:rFonts w:eastAsia="SimSun" w:cs="Calibri"/>
          <w:bCs/>
          <w:i/>
          <w:sz w:val="20"/>
          <w:szCs w:val="20"/>
        </w:rPr>
        <w:t>. „</w:t>
      </w:r>
      <w:r>
        <w:rPr>
          <w:rFonts w:eastAsia="SimSun" w:cs="Calibri"/>
          <w:bCs/>
          <w:i/>
          <w:sz w:val="20"/>
          <w:szCs w:val="20"/>
          <w:lang w:val="sr-Latn-ME"/>
        </w:rPr>
        <w:t>Sportski centar Nikšić</w:t>
      </w:r>
      <w:r>
        <w:rPr>
          <w:rFonts w:eastAsia="SimSun" w:cs="Calibri"/>
          <w:bCs/>
          <w:i/>
          <w:sz w:val="20"/>
          <w:szCs w:val="20"/>
        </w:rPr>
        <w:t>“</w:t>
      </w:r>
    </w:p>
    <w:p>
      <w:pPr>
        <w:ind w:firstLine="720"/>
        <w:jc w:val="center"/>
        <w:rPr>
          <w:sz w:val="26"/>
          <w:szCs w:val="26"/>
        </w:rPr>
      </w:pPr>
      <w:r>
        <w:drawing>
          <wp:inline distT="0" distB="0" distL="0" distR="0">
            <wp:extent cx="3924300" cy="2736215"/>
            <wp:effectExtent l="0" t="0" r="0" b="0"/>
            <wp:docPr id="2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pic:cNvPicPr>
                      <a:picLocks noChangeAspect="1" noChangeArrowheads="1"/>
                    </pic:cNvPicPr>
                  </pic:nvPicPr>
                  <pic:blipFill>
                    <a:blip r:embed="rId16"/>
                    <a:stretch>
                      <a:fillRect/>
                    </a:stretch>
                  </pic:blipFill>
                  <pic:spPr>
                    <a:xfrm>
                      <a:off x="0" y="0"/>
                      <a:ext cx="3924300" cy="2736215"/>
                    </a:xfrm>
                    <a:prstGeom prst="rect">
                      <a:avLst/>
                    </a:prstGeom>
                  </pic:spPr>
                </pic:pic>
              </a:graphicData>
            </a:graphic>
          </wp:inline>
        </w:drawing>
      </w:r>
    </w:p>
    <w:p>
      <w:pPr>
        <w:pStyle w:val="5"/>
        <w:rPr>
          <w:lang w:val="sr-Latn-ME"/>
        </w:rPr>
      </w:pPr>
      <w:r>
        <w:rPr>
          <w:lang w:val="sr-Latn-ME"/>
        </w:rPr>
        <w:t>Teniski tereni</w:t>
      </w:r>
    </w:p>
    <w:p>
      <w:pPr>
        <w:ind w:firstLine="720"/>
        <w:jc w:val="both"/>
        <w:rPr>
          <w:sz w:val="24"/>
          <w:szCs w:val="24"/>
          <w:lang w:val="sr-Latn-ME"/>
        </w:rPr>
      </w:pPr>
      <w:r>
        <w:rPr>
          <w:rFonts w:eastAsia="Calibri" w:cs="Calibri"/>
          <w:i/>
        </w:rPr>
        <w:t xml:space="preserve"> </w:t>
      </w:r>
      <w:r>
        <w:rPr>
          <w:sz w:val="24"/>
          <w:szCs w:val="24"/>
          <w:lang w:val="sr-Latn-ME"/>
        </w:rPr>
        <w:t xml:space="preserve">Teniski tereni su tokom 2023 godine korišteni za izdavanje u zakup. Ostvareni prihod iznosi 976,85 € i veći je od prihoda ostvarenog u prethodnoj godini za 649,76 €, a korišteni su ukupno 296 sati, što je više za 188 sati u odnosu na prethodnu godinu. </w:t>
      </w:r>
    </w:p>
    <w:p>
      <w:pPr>
        <w:ind w:firstLine="720"/>
        <w:jc w:val="center"/>
        <w:rPr>
          <w:sz w:val="20"/>
          <w:szCs w:val="20"/>
        </w:rPr>
      </w:pPr>
      <w:r>
        <w:rPr>
          <w:i/>
          <w:sz w:val="20"/>
          <w:szCs w:val="20"/>
          <w:lang w:val="sr-Latn-ME"/>
        </w:rPr>
        <w:t>Slika br</w:t>
      </w:r>
      <w:r>
        <w:rPr>
          <w:i/>
          <w:sz w:val="20"/>
          <w:szCs w:val="20"/>
        </w:rPr>
        <w:t xml:space="preserve">. 6: </w:t>
      </w:r>
      <w:r>
        <w:rPr>
          <w:i/>
          <w:sz w:val="20"/>
          <w:szCs w:val="20"/>
          <w:lang w:val="sr-Latn-ME"/>
        </w:rPr>
        <w:t xml:space="preserve">Teniski tereni </w:t>
      </w:r>
      <w:r>
        <w:rPr>
          <w:i/>
          <w:sz w:val="20"/>
          <w:szCs w:val="20"/>
        </w:rPr>
        <w:t xml:space="preserve"> Ј.</w:t>
      </w:r>
      <w:r>
        <w:rPr>
          <w:i/>
          <w:sz w:val="20"/>
          <w:szCs w:val="20"/>
          <w:lang w:val="sr-Latn-ME"/>
        </w:rPr>
        <w:t>P</w:t>
      </w:r>
      <w:r>
        <w:rPr>
          <w:i/>
          <w:sz w:val="20"/>
          <w:szCs w:val="20"/>
        </w:rPr>
        <w:t xml:space="preserve">. </w:t>
      </w:r>
      <w:r>
        <w:rPr>
          <w:i/>
          <w:sz w:val="20"/>
          <w:szCs w:val="20"/>
          <w:lang w:val="sr-Latn-ME"/>
        </w:rPr>
        <w:t>“Sportski centar Nikšić”</w:t>
      </w:r>
    </w:p>
    <w:p>
      <w:pPr>
        <w:ind w:firstLine="720"/>
        <w:jc w:val="center"/>
        <w:rPr>
          <w:sz w:val="26"/>
          <w:szCs w:val="26"/>
        </w:rPr>
      </w:pPr>
      <w:r>
        <w:rPr>
          <w:sz w:val="26"/>
          <w:szCs w:val="26"/>
        </w:rPr>
        <w:drawing>
          <wp:anchor distT="0" distB="0" distL="0" distR="0" simplePos="0" relativeHeight="251659264" behindDoc="0" locked="0" layoutInCell="0" allowOverlap="1">
            <wp:simplePos x="0" y="0"/>
            <wp:positionH relativeFrom="column">
              <wp:align>center</wp:align>
            </wp:positionH>
            <wp:positionV relativeFrom="paragraph">
              <wp:posOffset>635</wp:posOffset>
            </wp:positionV>
            <wp:extent cx="5363845" cy="2447925"/>
            <wp:effectExtent l="0" t="0" r="0" b="0"/>
            <wp:wrapSquare wrapText="largest"/>
            <wp:docPr id="2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
                    <pic:cNvPicPr>
                      <a:picLocks noChangeAspect="1" noChangeArrowheads="1"/>
                    </pic:cNvPicPr>
                  </pic:nvPicPr>
                  <pic:blipFill>
                    <a:blip r:embed="rId17"/>
                    <a:stretch>
                      <a:fillRect/>
                    </a:stretch>
                  </pic:blipFill>
                  <pic:spPr>
                    <a:xfrm>
                      <a:off x="0" y="0"/>
                      <a:ext cx="5363845" cy="2447925"/>
                    </a:xfrm>
                    <a:prstGeom prst="rect">
                      <a:avLst/>
                    </a:prstGeom>
                  </pic:spPr>
                </pic:pic>
              </a:graphicData>
            </a:graphic>
          </wp:anchor>
        </w:drawing>
      </w:r>
    </w:p>
    <w:p>
      <w:pPr>
        <w:ind w:firstLine="720"/>
        <w:jc w:val="center"/>
        <w:rPr>
          <w:sz w:val="26"/>
          <w:szCs w:val="26"/>
        </w:rPr>
      </w:pPr>
    </w:p>
    <w:p>
      <w:pPr>
        <w:pStyle w:val="3"/>
        <w:rPr>
          <w:rFonts w:hint="eastAsia" w:ascii="Lucida Sans Unicode" w:hAnsi="Lucida Sans Unicode" w:cs="Lucida Sans Unicode"/>
          <w:lang w:val="sr-Latn-ME"/>
        </w:rPr>
      </w:pPr>
      <w:bookmarkStart w:id="14" w:name="__RefHeading___Toc2274_3382316548"/>
      <w:bookmarkEnd w:id="14"/>
      <w:bookmarkStart w:id="15" w:name="_Toc160109710"/>
      <w:r>
        <w:rPr>
          <w:rFonts w:ascii="Lucida Sans Unicode" w:hAnsi="Lucida Sans Unicode" w:cs="Lucida Sans Unicode"/>
          <w:lang w:val="sr-Latn-ME"/>
        </w:rPr>
        <w:t>2.5. Aktivnosti i ostvareni rezultati u pružanju usluga izdavanja poslovnih prostora</w:t>
      </w:r>
      <w:bookmarkEnd w:id="15"/>
    </w:p>
    <w:p/>
    <w:p>
      <w:pPr>
        <w:tabs>
          <w:tab w:val="left" w:pos="720"/>
        </w:tabs>
        <w:ind w:firstLine="720"/>
        <w:jc w:val="both"/>
        <w:rPr>
          <w:sz w:val="24"/>
          <w:szCs w:val="24"/>
          <w:highlight w:val="yellow"/>
          <w:lang w:val="sr-Latn-ME"/>
        </w:rPr>
      </w:pPr>
      <w:r>
        <w:rPr>
          <w:sz w:val="24"/>
          <w:szCs w:val="24"/>
          <w:lang w:val="sr-Latn-ME"/>
        </w:rPr>
        <w:t>Tokom 2023. godine od ukupno 37 poslovnih prostora koji se nalaze u J.P. Sportski centar Nikšić, cijele godine je bilo izdato ukupno 6 poslovnih prostora.</w:t>
      </w:r>
      <w:r>
        <w:rPr>
          <w:sz w:val="24"/>
          <w:szCs w:val="24"/>
          <w:highlight w:val="yellow"/>
          <w:lang w:val="sr-Latn-ME"/>
        </w:rPr>
        <w:t xml:space="preserve"> </w:t>
      </w:r>
      <w:r>
        <w:rPr>
          <w:sz w:val="24"/>
          <w:szCs w:val="24"/>
          <w:lang w:val="sr-Latn-ME"/>
        </w:rPr>
        <w:t>Od ukupno 22 poslovna prostora u holu dvorane  čija je površina 388,00 m²,  2023 godine bilo je izdato u zakup tokom cijele godine 1 poslovni prostor, ukupne površine 10,00 m². Prostor od 20,00 m² je odlukom SO Nikšić dat na korišćenje Savezu radio amatera, kao i prostori veličine 12 m</w:t>
      </w:r>
      <w:r>
        <w:rPr>
          <w:sz w:val="24"/>
          <w:szCs w:val="24"/>
          <w:vertAlign w:val="superscript"/>
          <w:lang w:val="sr-Latn-ME"/>
        </w:rPr>
        <w:t>2</w:t>
      </w:r>
      <w:r>
        <w:rPr>
          <w:sz w:val="24"/>
          <w:szCs w:val="24"/>
          <w:lang w:val="sr-Latn-ME"/>
        </w:rPr>
        <w:t xml:space="preserve"> i 11 m</w:t>
      </w:r>
      <w:r>
        <w:rPr>
          <w:sz w:val="24"/>
          <w:szCs w:val="24"/>
          <w:vertAlign w:val="superscript"/>
          <w:lang w:val="sr-Latn-ME"/>
        </w:rPr>
        <w:t>2</w:t>
      </w:r>
      <w:r>
        <w:rPr>
          <w:sz w:val="24"/>
          <w:szCs w:val="24"/>
          <w:lang w:val="sr-Latn-ME"/>
        </w:rPr>
        <w:t xml:space="preserve"> koji su dati na korišćenje K.K. Sutjeska. </w:t>
      </w:r>
    </w:p>
    <w:p>
      <w:pPr>
        <w:tabs>
          <w:tab w:val="left" w:pos="720"/>
        </w:tabs>
        <w:ind w:firstLine="720"/>
        <w:jc w:val="both"/>
      </w:pPr>
      <w:r>
        <w:rPr>
          <w:sz w:val="24"/>
          <w:szCs w:val="24"/>
          <w:lang w:val="sr-Latn-ME"/>
        </w:rPr>
        <w:t>Od ukupno 10 poslovnih prostora u suterenu i prizemlju čija je površina 1.601 m</w:t>
      </w:r>
      <w:r>
        <w:rPr>
          <w:sz w:val="24"/>
          <w:szCs w:val="24"/>
          <w:vertAlign w:val="superscript"/>
          <w:lang w:val="sr-Latn-ME"/>
        </w:rPr>
        <w:t>2</w:t>
      </w:r>
      <w:r>
        <w:rPr>
          <w:sz w:val="24"/>
          <w:szCs w:val="24"/>
          <w:lang w:val="sr-Latn-ME"/>
        </w:rPr>
        <w:t>, bilo je izdato u zakup tokom cijele godine 4 poslovna prostora, ukupne površine 1.285,00 m².  Prostor od 27,00 m² je odlukom SO Nikšić dat na korišćenje Centru za mlade. Prostor steljane, površine 719 m</w:t>
      </w:r>
      <w:r>
        <w:rPr>
          <w:sz w:val="24"/>
          <w:szCs w:val="24"/>
          <w:vertAlign w:val="superscript"/>
          <w:lang w:val="sr-Latn-ME"/>
        </w:rPr>
        <w:t>2</w:t>
      </w:r>
      <w:r>
        <w:rPr>
          <w:sz w:val="24"/>
          <w:szCs w:val="24"/>
          <w:lang w:val="sr-Latn-ME"/>
        </w:rPr>
        <w:t xml:space="preserve"> priveden je namjeni i koristi se za sopstvene aktivnosti, školu streljaštva, održavanje treninga i za održavanje takmičenja.</w:t>
      </w:r>
    </w:p>
    <w:p>
      <w:pPr>
        <w:ind w:firstLine="390"/>
        <w:jc w:val="both"/>
      </w:pPr>
      <w:r>
        <w:rPr>
          <w:rFonts w:cs="Calibri"/>
          <w:sz w:val="24"/>
          <w:szCs w:val="24"/>
          <w:lang w:val="sr-Latn-ME"/>
        </w:rPr>
        <w:t>Od ostalih raspoloživih prostora ( 5 poslovnih prostora ) u dijelu objekta bazena, ukupne površine 1.052,00 m², 1 je bio izdat u zakup tokom cijele godine, ukupne površine 475,00 m². Poslovni prostor površine 222,00 m² prenamjenovan je u Dvoranu za borilačke sportove, prostor površine 133 m</w:t>
      </w:r>
      <w:r>
        <w:rPr>
          <w:rFonts w:cs="Calibri"/>
          <w:sz w:val="24"/>
          <w:szCs w:val="24"/>
          <w:vertAlign w:val="superscript"/>
          <w:lang w:val="sr-Latn-ME"/>
        </w:rPr>
        <w:t>2</w:t>
      </w:r>
      <w:r>
        <w:rPr>
          <w:rFonts w:cs="Calibri"/>
          <w:sz w:val="24"/>
          <w:szCs w:val="24"/>
          <w:lang w:val="sr-Latn-ME"/>
        </w:rPr>
        <w:t xml:space="preserve"> je bio izdat ukupno 2 mjeseca tokom godine, u decembru mjesecu raskinu je ugovor o zakupu prostora površine 196 m</w:t>
      </w:r>
      <w:r>
        <w:rPr>
          <w:rFonts w:cs="Calibri"/>
          <w:sz w:val="24"/>
          <w:szCs w:val="24"/>
          <w:vertAlign w:val="superscript"/>
          <w:lang w:val="sr-Latn-ME"/>
        </w:rPr>
        <w:t>2</w:t>
      </w:r>
      <w:r>
        <w:rPr>
          <w:rFonts w:cs="Calibri"/>
          <w:sz w:val="24"/>
          <w:szCs w:val="24"/>
          <w:lang w:val="sr-Latn-ME"/>
        </w:rPr>
        <w:t xml:space="preserve"> dok za prostor površine 26 m</w:t>
      </w:r>
      <w:r>
        <w:rPr>
          <w:rFonts w:cs="Calibri"/>
          <w:sz w:val="24"/>
          <w:szCs w:val="24"/>
          <w:vertAlign w:val="superscript"/>
          <w:lang w:val="sr-Latn-ME"/>
        </w:rPr>
        <w:t>2</w:t>
      </w:r>
      <w:r>
        <w:rPr>
          <w:rFonts w:cs="Calibri"/>
          <w:sz w:val="24"/>
          <w:szCs w:val="24"/>
          <w:lang w:val="sr-Latn-ME"/>
        </w:rPr>
        <w:t xml:space="preserve">  nije bilo zainteresovanih zakupaca.</w:t>
      </w:r>
    </w:p>
    <w:p>
      <w:pPr>
        <w:pStyle w:val="3"/>
        <w:rPr>
          <w:rFonts w:hint="eastAsia" w:ascii="Lucida Sans Unicode" w:hAnsi="Lucida Sans Unicode" w:cs="Lucida Sans Unicode"/>
          <w:lang w:val="sr-Latn-ME"/>
        </w:rPr>
      </w:pPr>
      <w:bookmarkStart w:id="16" w:name="__RefHeading___Toc2276_3382316548"/>
      <w:bookmarkEnd w:id="16"/>
      <w:bookmarkStart w:id="17" w:name="_Toc160109711"/>
      <w:r>
        <w:rPr>
          <w:rFonts w:ascii="Lucida Sans Unicode" w:hAnsi="Lucida Sans Unicode" w:cs="Lucida Sans Unicode"/>
          <w:lang w:val="sr-Latn-ME"/>
        </w:rPr>
        <w:t>2.6. Aktivnosti i ostvareni rezultati u pružanju usluga izdavanja reklamnih prostora</w:t>
      </w:r>
      <w:bookmarkEnd w:id="17"/>
    </w:p>
    <w:p>
      <w:pPr>
        <w:rPr>
          <w:sz w:val="26"/>
          <w:szCs w:val="26"/>
        </w:rPr>
      </w:pPr>
    </w:p>
    <w:p>
      <w:pPr>
        <w:ind w:firstLine="390"/>
        <w:jc w:val="both"/>
        <w:rPr>
          <w:sz w:val="24"/>
          <w:szCs w:val="24"/>
          <w:lang w:val="sr-Latn-ME"/>
        </w:rPr>
      </w:pPr>
      <w:r>
        <w:rPr>
          <w:sz w:val="24"/>
          <w:szCs w:val="24"/>
          <w:lang w:val="sr-Latn-ME"/>
        </w:rPr>
        <w:t>Prostor Sportskog centra koji se može izdavati preduzećima za reklamiranje je veliki: na spoljašnjem dijelu objekta, u dvorani, na bazenu, na terenima na otvorenom i putem bilborda. Ostvareni prihod u 2023 godini je bio 8.012,54 € i manji je za 24 % u odnosu na prethodnu godinu.</w:t>
      </w:r>
    </w:p>
    <w:p>
      <w:pPr>
        <w:ind w:firstLine="390"/>
        <w:jc w:val="both"/>
        <w:rPr>
          <w:sz w:val="24"/>
          <w:szCs w:val="24"/>
          <w:lang w:val="sr-Latn-ME"/>
        </w:rPr>
      </w:pPr>
      <w:r>
        <w:rPr>
          <w:sz w:val="24"/>
          <w:szCs w:val="24"/>
          <w:lang w:val="sr-Latn-ME"/>
        </w:rPr>
        <w:t xml:space="preserve">Djelatnost pružanja marketinških usluga u vidu isticanja reklama u 2023. godini djelimično je ispunio plan, iako postoje veliki kapaciteti za povećanje prihoda po osnovu istih, njihovo potpuno aktiviranje zavisi od razvoja sporta u gradu, kao i održavanjem atraktivnijih sportskih i zabavnih sadržaja i u narednom periodu nastojaće se bolje iskoristiti. </w:t>
      </w:r>
    </w:p>
    <w:p>
      <w:pPr>
        <w:pStyle w:val="2"/>
        <w:numPr>
          <w:ilvl w:val="0"/>
          <w:numId w:val="3"/>
        </w:numPr>
        <w:jc w:val="center"/>
        <w:rPr>
          <w:rFonts w:hint="eastAsia" w:ascii="Lucida Sans Unicode" w:hAnsi="Lucida Sans Unicode" w:cs="Lucida Sans Unicode"/>
        </w:rPr>
      </w:pPr>
      <w:bookmarkStart w:id="18" w:name="__RefHeading___Toc2278_3382316548"/>
      <w:bookmarkEnd w:id="18"/>
      <w:bookmarkStart w:id="19" w:name="_Toc160109712"/>
      <w:r>
        <w:rPr>
          <w:rFonts w:ascii="Lucida Sans Unicode" w:hAnsi="Lucida Sans Unicode" w:cs="Lucida Sans Unicode"/>
        </w:rPr>
        <w:t>AKTIVNOSTI I OSTVARENI REZULTATI U PRUŽANjU UGOSTITELjSKIH USLUGA</w:t>
      </w:r>
      <w:bookmarkEnd w:id="19"/>
    </w:p>
    <w:p/>
    <w:p>
      <w:pPr>
        <w:jc w:val="center"/>
        <w:rPr>
          <w:sz w:val="24"/>
          <w:szCs w:val="24"/>
          <w:lang w:val="sr-Latn-ME"/>
        </w:rPr>
      </w:pPr>
      <w:r>
        <w:rPr>
          <w:sz w:val="24"/>
          <w:szCs w:val="24"/>
          <w:lang w:val="sr-Latn-ME"/>
        </w:rPr>
        <w:t>U 2023 godini ostvareni su sljedeći prihodi i rashodi od ugostiteljske djelatnosti:</w:t>
      </w:r>
    </w:p>
    <w:p>
      <w:pPr>
        <w:jc w:val="center"/>
        <w:rPr>
          <w:i/>
          <w:sz w:val="20"/>
          <w:szCs w:val="20"/>
          <w:lang w:val="sr-Latn-ME"/>
        </w:rPr>
      </w:pPr>
      <w:r>
        <w:rPr>
          <w:i/>
          <w:sz w:val="20"/>
          <w:szCs w:val="20"/>
          <w:lang w:val="sr-Latn-ME"/>
        </w:rPr>
        <w:t>Tabela 3.1.: Ostvareni prihodi od ugostiteljskih usluga u 2023. godini</w:t>
      </w:r>
    </w:p>
    <w:tbl>
      <w:tblPr>
        <w:tblStyle w:val="7"/>
        <w:tblW w:w="5000" w:type="pct"/>
        <w:jc w:val="center"/>
        <w:tblLayout w:type="fixed"/>
        <w:tblCellMar>
          <w:top w:w="0" w:type="dxa"/>
          <w:left w:w="108" w:type="dxa"/>
          <w:bottom w:w="0" w:type="dxa"/>
          <w:right w:w="108" w:type="dxa"/>
        </w:tblCellMar>
      </w:tblPr>
      <w:tblGrid>
        <w:gridCol w:w="769"/>
        <w:gridCol w:w="7628"/>
        <w:gridCol w:w="1421"/>
      </w:tblGrid>
      <w:tr>
        <w:tblPrEx>
          <w:tblCellMar>
            <w:top w:w="0" w:type="dxa"/>
            <w:left w:w="108" w:type="dxa"/>
            <w:bottom w:w="0" w:type="dxa"/>
            <w:right w:w="108" w:type="dxa"/>
          </w:tblCellMar>
        </w:tblPrEx>
        <w:trPr>
          <w:trHeight w:val="294" w:hRule="atLeast"/>
          <w:jc w:val="center"/>
        </w:trPr>
        <w:tc>
          <w:tcPr>
            <w:tcW w:w="752"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pPr>
            <w:r>
              <w:rPr>
                <w:b/>
                <w:sz w:val="20"/>
                <w:szCs w:val="20"/>
                <w:lang w:val="sr-Latn-ME"/>
              </w:rPr>
              <w:t>R</w:t>
            </w:r>
            <w:r>
              <w:rPr>
                <w:b/>
                <w:sz w:val="20"/>
                <w:szCs w:val="20"/>
              </w:rPr>
              <w:t xml:space="preserve">. </w:t>
            </w:r>
            <w:r>
              <w:rPr>
                <w:b/>
                <w:sz w:val="20"/>
                <w:szCs w:val="20"/>
                <w:lang w:val="sr-Latn-ME"/>
              </w:rPr>
              <w:t>br</w:t>
            </w:r>
            <w:r>
              <w:rPr>
                <w:b/>
                <w:sz w:val="20"/>
                <w:szCs w:val="20"/>
              </w:rPr>
              <w:t>.</w:t>
            </w:r>
          </w:p>
        </w:tc>
        <w:tc>
          <w:tcPr>
            <w:tcW w:w="7460"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rPr>
                <w:b/>
                <w:sz w:val="20"/>
                <w:szCs w:val="20"/>
                <w:lang w:val="sr-Latn-ME"/>
              </w:rPr>
            </w:pPr>
            <w:r>
              <w:rPr>
                <w:b/>
                <w:sz w:val="20"/>
                <w:szCs w:val="20"/>
                <w:lang w:val="sr-Latn-ME"/>
              </w:rPr>
              <w:t>Opis</w:t>
            </w:r>
          </w:p>
        </w:tc>
        <w:tc>
          <w:tcPr>
            <w:tcW w:w="1390"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pPr>
            <w:r>
              <w:rPr>
                <w:b/>
                <w:sz w:val="20"/>
                <w:szCs w:val="20"/>
                <w:lang w:val="sr-Latn-ME"/>
              </w:rPr>
              <w:t>Iznos</w:t>
            </w:r>
            <w:r>
              <w:rPr>
                <w:b/>
                <w:sz w:val="20"/>
                <w:szCs w:val="20"/>
              </w:rPr>
              <w:t xml:space="preserve"> </w:t>
            </w:r>
            <w:r>
              <w:rPr>
                <w:rFonts w:cs="Calibri"/>
                <w:b/>
                <w:sz w:val="20"/>
                <w:szCs w:val="20"/>
              </w:rPr>
              <w:t>€</w:t>
            </w:r>
          </w:p>
        </w:tc>
      </w:tr>
      <w:tr>
        <w:tblPrEx>
          <w:tblCellMar>
            <w:top w:w="0" w:type="dxa"/>
            <w:left w:w="108" w:type="dxa"/>
            <w:bottom w:w="0" w:type="dxa"/>
            <w:right w:w="108" w:type="dxa"/>
          </w:tblCellMar>
        </w:tblPrEx>
        <w:trPr>
          <w:trHeight w:val="295" w:hRule="atLeast"/>
          <w:jc w:val="center"/>
        </w:trPr>
        <w:tc>
          <w:tcPr>
            <w:tcW w:w="752" w:type="dxa"/>
            <w:tcBorders>
              <w:top w:val="double" w:color="000000" w:sz="4" w:space="0"/>
              <w:left w:val="double" w:color="000000" w:sz="4" w:space="0"/>
              <w:bottom w:val="single" w:color="000000" w:sz="4" w:space="0"/>
              <w:right w:val="single" w:color="000000" w:sz="4" w:space="0"/>
            </w:tcBorders>
          </w:tcPr>
          <w:p>
            <w:pPr>
              <w:rPr>
                <w:sz w:val="20"/>
                <w:szCs w:val="20"/>
              </w:rPr>
            </w:pPr>
            <w:r>
              <w:rPr>
                <w:sz w:val="20"/>
                <w:szCs w:val="20"/>
              </w:rPr>
              <w:t>1.</w:t>
            </w:r>
          </w:p>
        </w:tc>
        <w:tc>
          <w:tcPr>
            <w:tcW w:w="7460" w:type="dxa"/>
            <w:tcBorders>
              <w:top w:val="double" w:color="000000" w:sz="4" w:space="0"/>
              <w:left w:val="single" w:color="000000" w:sz="4" w:space="0"/>
              <w:bottom w:val="single" w:color="000000" w:sz="4" w:space="0"/>
              <w:right w:val="single" w:color="000000" w:sz="4" w:space="0"/>
            </w:tcBorders>
          </w:tcPr>
          <w:p>
            <w:pPr>
              <w:rPr>
                <w:sz w:val="20"/>
                <w:szCs w:val="20"/>
                <w:lang w:val="sr-Latn-ME"/>
              </w:rPr>
            </w:pPr>
            <w:r>
              <w:rPr>
                <w:sz w:val="20"/>
                <w:szCs w:val="20"/>
                <w:lang w:val="sr-Latn-ME"/>
              </w:rPr>
              <w:t>Prihodi od ugostiteljskih usluga</w:t>
            </w:r>
          </w:p>
        </w:tc>
        <w:tc>
          <w:tcPr>
            <w:tcW w:w="1390" w:type="dxa"/>
            <w:tcBorders>
              <w:top w:val="double" w:color="000000" w:sz="4" w:space="0"/>
              <w:left w:val="single" w:color="000000" w:sz="4" w:space="0"/>
              <w:bottom w:val="single" w:color="000000" w:sz="4" w:space="0"/>
              <w:right w:val="double" w:color="000000" w:sz="4" w:space="0"/>
            </w:tcBorders>
          </w:tcPr>
          <w:p>
            <w:pPr>
              <w:jc w:val="right"/>
            </w:pPr>
            <w:r>
              <w:rPr>
                <w:sz w:val="20"/>
                <w:szCs w:val="20"/>
              </w:rPr>
              <w:t>14.108,06</w:t>
            </w:r>
          </w:p>
        </w:tc>
      </w:tr>
      <w:tr>
        <w:tblPrEx>
          <w:tblCellMar>
            <w:top w:w="0" w:type="dxa"/>
            <w:left w:w="108" w:type="dxa"/>
            <w:bottom w:w="0" w:type="dxa"/>
            <w:right w:w="108" w:type="dxa"/>
          </w:tblCellMar>
        </w:tblPrEx>
        <w:trPr>
          <w:trHeight w:val="416" w:hRule="atLeast"/>
          <w:jc w:val="center"/>
        </w:trPr>
        <w:tc>
          <w:tcPr>
            <w:tcW w:w="752" w:type="dxa"/>
            <w:tcBorders>
              <w:top w:val="single" w:color="000000" w:sz="4" w:space="0"/>
              <w:left w:val="double" w:color="000000" w:sz="4" w:space="0"/>
              <w:bottom w:val="single" w:color="000000" w:sz="4" w:space="0"/>
              <w:right w:val="single" w:color="000000" w:sz="4" w:space="0"/>
            </w:tcBorders>
          </w:tcPr>
          <w:p>
            <w:pPr>
              <w:rPr>
                <w:sz w:val="20"/>
                <w:szCs w:val="20"/>
              </w:rPr>
            </w:pPr>
            <w:r>
              <w:rPr>
                <w:sz w:val="20"/>
                <w:szCs w:val="20"/>
              </w:rPr>
              <w:t>2.</w:t>
            </w:r>
          </w:p>
        </w:tc>
        <w:tc>
          <w:tcPr>
            <w:tcW w:w="7460" w:type="dxa"/>
            <w:tcBorders>
              <w:top w:val="single" w:color="000000" w:sz="4" w:space="0"/>
              <w:left w:val="single" w:color="000000" w:sz="4" w:space="0"/>
              <w:bottom w:val="single" w:color="000000" w:sz="4" w:space="0"/>
              <w:right w:val="single" w:color="000000" w:sz="4" w:space="0"/>
            </w:tcBorders>
          </w:tcPr>
          <w:p>
            <w:pPr>
              <w:rPr>
                <w:sz w:val="20"/>
                <w:szCs w:val="20"/>
                <w:lang w:val="sr-Latn-ME"/>
              </w:rPr>
            </w:pPr>
            <w:r>
              <w:rPr>
                <w:sz w:val="20"/>
                <w:szCs w:val="20"/>
                <w:lang w:val="sr-Latn-ME"/>
              </w:rPr>
              <w:t>Prihodi od donacija - državno davanje</w:t>
            </w:r>
          </w:p>
        </w:tc>
        <w:tc>
          <w:tcPr>
            <w:tcW w:w="1390" w:type="dxa"/>
            <w:tcBorders>
              <w:top w:val="single" w:color="000000" w:sz="4" w:space="0"/>
              <w:left w:val="single" w:color="000000" w:sz="4" w:space="0"/>
              <w:bottom w:val="single" w:color="000000" w:sz="4" w:space="0"/>
              <w:right w:val="double" w:color="000000" w:sz="4" w:space="0"/>
            </w:tcBorders>
          </w:tcPr>
          <w:p>
            <w:pPr>
              <w:jc w:val="right"/>
              <w:rPr>
                <w:sz w:val="20"/>
                <w:szCs w:val="20"/>
              </w:rPr>
            </w:pPr>
            <w:r>
              <w:rPr>
                <w:sz w:val="20"/>
                <w:szCs w:val="20"/>
              </w:rPr>
              <w:t>336,74</w:t>
            </w:r>
          </w:p>
        </w:tc>
      </w:tr>
      <w:tr>
        <w:tblPrEx>
          <w:tblCellMar>
            <w:top w:w="0" w:type="dxa"/>
            <w:left w:w="108" w:type="dxa"/>
            <w:bottom w:w="0" w:type="dxa"/>
            <w:right w:w="108" w:type="dxa"/>
          </w:tblCellMar>
        </w:tblPrEx>
        <w:trPr>
          <w:trHeight w:val="416" w:hRule="atLeast"/>
          <w:jc w:val="center"/>
        </w:trPr>
        <w:tc>
          <w:tcPr>
            <w:tcW w:w="752" w:type="dxa"/>
            <w:tcBorders>
              <w:top w:val="single" w:color="000000" w:sz="4" w:space="0"/>
              <w:left w:val="double" w:color="000000" w:sz="4" w:space="0"/>
              <w:bottom w:val="double" w:color="000000" w:sz="4" w:space="0"/>
              <w:right w:val="single" w:color="000000" w:sz="4" w:space="0"/>
            </w:tcBorders>
          </w:tcPr>
          <w:p>
            <w:pPr>
              <w:rPr>
                <w:sz w:val="20"/>
                <w:szCs w:val="20"/>
              </w:rPr>
            </w:pPr>
            <w:r>
              <w:rPr>
                <w:sz w:val="20"/>
                <w:szCs w:val="20"/>
              </w:rPr>
              <w:t>3.</w:t>
            </w:r>
          </w:p>
        </w:tc>
        <w:tc>
          <w:tcPr>
            <w:tcW w:w="7460" w:type="dxa"/>
            <w:tcBorders>
              <w:top w:val="single" w:color="000000" w:sz="4" w:space="0"/>
              <w:left w:val="single" w:color="000000" w:sz="4" w:space="0"/>
              <w:bottom w:val="double" w:color="000000" w:sz="4" w:space="0"/>
              <w:right w:val="single" w:color="000000" w:sz="4" w:space="0"/>
            </w:tcBorders>
          </w:tcPr>
          <w:p>
            <w:pPr>
              <w:rPr>
                <w:sz w:val="20"/>
                <w:szCs w:val="20"/>
                <w:lang w:val="sr-Latn-ME"/>
              </w:rPr>
            </w:pPr>
            <w:r>
              <w:rPr>
                <w:sz w:val="20"/>
                <w:szCs w:val="20"/>
                <w:lang w:val="sr-Latn-ME"/>
              </w:rPr>
              <w:t>Prihodi od smanjenja obaveza i ostali poslovni prihodi</w:t>
            </w:r>
          </w:p>
        </w:tc>
        <w:tc>
          <w:tcPr>
            <w:tcW w:w="1390" w:type="dxa"/>
            <w:tcBorders>
              <w:top w:val="single" w:color="000000" w:sz="4" w:space="0"/>
              <w:left w:val="single" w:color="000000" w:sz="4" w:space="0"/>
              <w:bottom w:val="double" w:color="000000" w:sz="4" w:space="0"/>
              <w:right w:val="double" w:color="000000" w:sz="4" w:space="0"/>
            </w:tcBorders>
          </w:tcPr>
          <w:p>
            <w:pPr>
              <w:jc w:val="right"/>
            </w:pPr>
            <w:r>
              <w:rPr>
                <w:sz w:val="20"/>
                <w:szCs w:val="20"/>
              </w:rPr>
              <w:t>1.494,21</w:t>
            </w:r>
          </w:p>
        </w:tc>
      </w:tr>
      <w:tr>
        <w:tblPrEx>
          <w:tblCellMar>
            <w:top w:w="0" w:type="dxa"/>
            <w:left w:w="108" w:type="dxa"/>
            <w:bottom w:w="0" w:type="dxa"/>
            <w:right w:w="108" w:type="dxa"/>
          </w:tblCellMar>
        </w:tblPrEx>
        <w:trPr>
          <w:trHeight w:val="297" w:hRule="atLeast"/>
          <w:jc w:val="center"/>
        </w:trPr>
        <w:tc>
          <w:tcPr>
            <w:tcW w:w="8212" w:type="dxa"/>
            <w:gridSpan w:val="2"/>
            <w:tcBorders>
              <w:top w:val="double" w:color="000000" w:sz="4" w:space="0"/>
              <w:left w:val="double" w:color="000000" w:sz="4" w:space="0"/>
              <w:bottom w:val="double" w:color="000000" w:sz="4" w:space="0"/>
              <w:right w:val="double" w:color="000000" w:sz="4" w:space="0"/>
            </w:tcBorders>
            <w:shd w:val="clear" w:color="auto" w:fill="F2DCDC"/>
          </w:tcPr>
          <w:p>
            <w:pPr>
              <w:jc w:val="center"/>
              <w:rPr>
                <w:b/>
                <w:sz w:val="20"/>
                <w:szCs w:val="20"/>
                <w:lang w:val="sr-Latn-ME"/>
              </w:rPr>
            </w:pPr>
            <w:r>
              <w:rPr>
                <w:b/>
                <w:sz w:val="20"/>
                <w:szCs w:val="20"/>
                <w:lang w:val="sr-Latn-ME"/>
              </w:rPr>
              <w:t>Ukupni prihodi</w:t>
            </w:r>
          </w:p>
        </w:tc>
        <w:tc>
          <w:tcPr>
            <w:tcW w:w="1390" w:type="dxa"/>
            <w:tcBorders>
              <w:top w:val="double" w:color="000000" w:sz="4" w:space="0"/>
              <w:left w:val="double" w:color="000000" w:sz="4" w:space="0"/>
              <w:bottom w:val="double" w:color="000000" w:sz="4" w:space="0"/>
              <w:right w:val="double" w:color="000000" w:sz="4" w:space="0"/>
            </w:tcBorders>
            <w:shd w:val="clear" w:color="auto" w:fill="F2DCDC"/>
          </w:tcPr>
          <w:p>
            <w:pPr>
              <w:jc w:val="right"/>
            </w:pPr>
            <w:r>
              <w:rPr>
                <w:b/>
                <w:sz w:val="20"/>
                <w:szCs w:val="20"/>
              </w:rPr>
              <w:t>15.939,01</w:t>
            </w:r>
          </w:p>
        </w:tc>
      </w:tr>
    </w:tbl>
    <w:p>
      <w:pPr>
        <w:spacing w:line="120" w:lineRule="auto"/>
        <w:rPr>
          <w:i/>
        </w:rPr>
      </w:pPr>
    </w:p>
    <w:p>
      <w:pPr>
        <w:jc w:val="center"/>
        <w:rPr>
          <w:i/>
          <w:sz w:val="20"/>
          <w:szCs w:val="20"/>
          <w:lang w:val="sr-Latn-ME"/>
        </w:rPr>
      </w:pPr>
      <w:r>
        <w:rPr>
          <w:i/>
          <w:sz w:val="20"/>
          <w:szCs w:val="20"/>
          <w:lang w:val="sr-Latn-ME"/>
        </w:rPr>
        <w:t>Tabela 3.2.: Ostvareni rashodi u ugostiteljskim uslugama u 2022. godini</w:t>
      </w:r>
    </w:p>
    <w:tbl>
      <w:tblPr>
        <w:tblStyle w:val="7"/>
        <w:tblW w:w="5000" w:type="pct"/>
        <w:jc w:val="center"/>
        <w:tblLayout w:type="fixed"/>
        <w:tblCellMar>
          <w:top w:w="0" w:type="dxa"/>
          <w:left w:w="108" w:type="dxa"/>
          <w:bottom w:w="0" w:type="dxa"/>
          <w:right w:w="108" w:type="dxa"/>
        </w:tblCellMar>
      </w:tblPr>
      <w:tblGrid>
        <w:gridCol w:w="760"/>
        <w:gridCol w:w="7637"/>
        <w:gridCol w:w="1421"/>
      </w:tblGrid>
      <w:tr>
        <w:tblPrEx>
          <w:tblCellMar>
            <w:top w:w="0" w:type="dxa"/>
            <w:left w:w="108" w:type="dxa"/>
            <w:bottom w:w="0" w:type="dxa"/>
            <w:right w:w="108" w:type="dxa"/>
          </w:tblCellMar>
        </w:tblPrEx>
        <w:trPr>
          <w:trHeight w:val="381" w:hRule="atLeast"/>
          <w:jc w:val="center"/>
        </w:trPr>
        <w:tc>
          <w:tcPr>
            <w:tcW w:w="743" w:type="dxa"/>
            <w:tcBorders>
              <w:top w:val="double" w:color="000000" w:sz="4" w:space="0"/>
              <w:left w:val="double" w:color="000000" w:sz="4" w:space="0"/>
              <w:bottom w:val="double" w:color="000000" w:sz="4" w:space="0"/>
              <w:right w:val="double" w:color="000000" w:sz="4" w:space="0"/>
            </w:tcBorders>
            <w:shd w:val="clear" w:color="auto" w:fill="F2DCDC"/>
          </w:tcPr>
          <w:p>
            <w:r>
              <w:rPr>
                <w:b/>
                <w:sz w:val="20"/>
                <w:szCs w:val="20"/>
                <w:lang w:val="sr-Latn-ME"/>
              </w:rPr>
              <w:t>R</w:t>
            </w:r>
            <w:r>
              <w:rPr>
                <w:b/>
                <w:sz w:val="20"/>
                <w:szCs w:val="20"/>
              </w:rPr>
              <w:t xml:space="preserve">. </w:t>
            </w:r>
            <w:r>
              <w:rPr>
                <w:b/>
                <w:sz w:val="20"/>
                <w:szCs w:val="20"/>
                <w:lang w:val="sr-Latn-ME"/>
              </w:rPr>
              <w:t>br</w:t>
            </w:r>
            <w:r>
              <w:rPr>
                <w:b/>
                <w:sz w:val="20"/>
                <w:szCs w:val="20"/>
              </w:rPr>
              <w:t>.</w:t>
            </w:r>
          </w:p>
        </w:tc>
        <w:tc>
          <w:tcPr>
            <w:tcW w:w="7469" w:type="dxa"/>
            <w:tcBorders>
              <w:top w:val="double" w:color="000000" w:sz="4" w:space="0"/>
              <w:left w:val="double" w:color="000000" w:sz="4" w:space="0"/>
              <w:bottom w:val="double" w:color="000000" w:sz="4" w:space="0"/>
              <w:right w:val="double" w:color="000000" w:sz="4" w:space="0"/>
            </w:tcBorders>
            <w:shd w:val="clear" w:color="auto" w:fill="F2DCDC"/>
          </w:tcPr>
          <w:p>
            <w:pPr>
              <w:jc w:val="center"/>
              <w:rPr>
                <w:b/>
                <w:sz w:val="20"/>
                <w:szCs w:val="20"/>
                <w:lang w:val="sr-Latn-ME"/>
              </w:rPr>
            </w:pPr>
            <w:r>
              <w:rPr>
                <w:b/>
                <w:sz w:val="20"/>
                <w:szCs w:val="20"/>
                <w:lang w:val="sr-Latn-ME"/>
              </w:rPr>
              <w:t>Opis</w:t>
            </w:r>
          </w:p>
        </w:tc>
        <w:tc>
          <w:tcPr>
            <w:tcW w:w="1390" w:type="dxa"/>
            <w:tcBorders>
              <w:top w:val="double" w:color="000000" w:sz="4" w:space="0"/>
              <w:left w:val="double" w:color="000000" w:sz="4" w:space="0"/>
              <w:bottom w:val="double" w:color="000000" w:sz="4" w:space="0"/>
              <w:right w:val="double" w:color="000000" w:sz="4" w:space="0"/>
            </w:tcBorders>
            <w:shd w:val="clear" w:color="auto" w:fill="F2DCDC"/>
          </w:tcPr>
          <w:p>
            <w:pPr>
              <w:jc w:val="center"/>
            </w:pPr>
            <w:r>
              <w:rPr>
                <w:b/>
                <w:sz w:val="20"/>
                <w:szCs w:val="20"/>
                <w:lang w:val="sr-Latn-ME"/>
              </w:rPr>
              <w:t>Iznos</w:t>
            </w:r>
            <w:r>
              <w:rPr>
                <w:b/>
                <w:sz w:val="20"/>
                <w:szCs w:val="20"/>
              </w:rPr>
              <w:t xml:space="preserve"> </w:t>
            </w:r>
            <w:r>
              <w:rPr>
                <w:rFonts w:cs="Calibri"/>
                <w:b/>
                <w:sz w:val="20"/>
                <w:szCs w:val="20"/>
              </w:rPr>
              <w:t>€</w:t>
            </w:r>
          </w:p>
        </w:tc>
      </w:tr>
      <w:tr>
        <w:tblPrEx>
          <w:tblCellMar>
            <w:top w:w="0" w:type="dxa"/>
            <w:left w:w="108" w:type="dxa"/>
            <w:bottom w:w="0" w:type="dxa"/>
            <w:right w:w="108" w:type="dxa"/>
          </w:tblCellMar>
        </w:tblPrEx>
        <w:trPr>
          <w:trHeight w:val="333" w:hRule="atLeast"/>
          <w:jc w:val="center"/>
        </w:trPr>
        <w:tc>
          <w:tcPr>
            <w:tcW w:w="743" w:type="dxa"/>
            <w:tcBorders>
              <w:top w:val="double" w:color="000000" w:sz="4" w:space="0"/>
              <w:left w:val="double" w:color="000000" w:sz="4" w:space="0"/>
              <w:bottom w:val="single" w:color="000000" w:sz="4" w:space="0"/>
              <w:right w:val="single" w:color="000000" w:sz="4" w:space="0"/>
            </w:tcBorders>
          </w:tcPr>
          <w:p>
            <w:pPr>
              <w:rPr>
                <w:sz w:val="20"/>
                <w:szCs w:val="20"/>
              </w:rPr>
            </w:pPr>
            <w:r>
              <w:rPr>
                <w:sz w:val="20"/>
                <w:szCs w:val="20"/>
              </w:rPr>
              <w:t>1.</w:t>
            </w:r>
          </w:p>
        </w:tc>
        <w:tc>
          <w:tcPr>
            <w:tcW w:w="7469" w:type="dxa"/>
            <w:tcBorders>
              <w:top w:val="double" w:color="000000" w:sz="4" w:space="0"/>
              <w:left w:val="single" w:color="000000" w:sz="4" w:space="0"/>
              <w:bottom w:val="single" w:color="000000" w:sz="4" w:space="0"/>
              <w:right w:val="single" w:color="000000" w:sz="4" w:space="0"/>
            </w:tcBorders>
          </w:tcPr>
          <w:p>
            <w:pPr>
              <w:rPr>
                <w:sz w:val="20"/>
                <w:szCs w:val="20"/>
                <w:lang w:val="sr-Latn-ME"/>
              </w:rPr>
            </w:pPr>
            <w:r>
              <w:rPr>
                <w:sz w:val="20"/>
                <w:szCs w:val="20"/>
                <w:lang w:val="sr-Latn-ME"/>
              </w:rPr>
              <w:t>Nabavna vrijednost prodate robe, troškovi materijala za izradu i pomoćni materijal</w:t>
            </w:r>
          </w:p>
        </w:tc>
        <w:tc>
          <w:tcPr>
            <w:tcW w:w="1390" w:type="dxa"/>
            <w:tcBorders>
              <w:top w:val="double" w:color="000000" w:sz="4" w:space="0"/>
              <w:left w:val="single" w:color="000000" w:sz="4" w:space="0"/>
              <w:bottom w:val="single" w:color="000000" w:sz="4" w:space="0"/>
              <w:right w:val="double" w:color="000000" w:sz="4" w:space="0"/>
            </w:tcBorders>
          </w:tcPr>
          <w:p>
            <w:pPr>
              <w:jc w:val="right"/>
            </w:pPr>
            <w:r>
              <w:rPr>
                <w:sz w:val="20"/>
                <w:szCs w:val="20"/>
              </w:rPr>
              <w:t>3.244,50</w:t>
            </w:r>
          </w:p>
        </w:tc>
      </w:tr>
      <w:tr>
        <w:tblPrEx>
          <w:tblCellMar>
            <w:top w:w="0" w:type="dxa"/>
            <w:left w:w="108" w:type="dxa"/>
            <w:bottom w:w="0" w:type="dxa"/>
            <w:right w:w="108" w:type="dxa"/>
          </w:tblCellMar>
        </w:tblPrEx>
        <w:trPr>
          <w:trHeight w:val="365" w:hRule="atLeast"/>
          <w:jc w:val="center"/>
        </w:trPr>
        <w:tc>
          <w:tcPr>
            <w:tcW w:w="743" w:type="dxa"/>
            <w:tcBorders>
              <w:top w:val="single" w:color="000000" w:sz="4" w:space="0"/>
              <w:left w:val="double" w:color="000000" w:sz="4" w:space="0"/>
              <w:bottom w:val="single" w:color="000000" w:sz="4" w:space="0"/>
              <w:right w:val="single" w:color="000000" w:sz="4" w:space="0"/>
            </w:tcBorders>
          </w:tcPr>
          <w:p>
            <w:pPr>
              <w:rPr>
                <w:sz w:val="20"/>
                <w:szCs w:val="20"/>
              </w:rPr>
            </w:pPr>
            <w:r>
              <w:rPr>
                <w:sz w:val="20"/>
                <w:szCs w:val="20"/>
              </w:rPr>
              <w:t>2.</w:t>
            </w:r>
          </w:p>
        </w:tc>
        <w:tc>
          <w:tcPr>
            <w:tcW w:w="7469" w:type="dxa"/>
            <w:tcBorders>
              <w:top w:val="single" w:color="000000" w:sz="4" w:space="0"/>
              <w:left w:val="single" w:color="000000" w:sz="4" w:space="0"/>
              <w:bottom w:val="single" w:color="000000" w:sz="4" w:space="0"/>
              <w:right w:val="single" w:color="000000" w:sz="4" w:space="0"/>
            </w:tcBorders>
          </w:tcPr>
          <w:p>
            <w:pPr>
              <w:rPr>
                <w:sz w:val="20"/>
                <w:szCs w:val="20"/>
                <w:lang w:val="sr-Latn-ME"/>
              </w:rPr>
            </w:pPr>
            <w:r>
              <w:rPr>
                <w:sz w:val="20"/>
                <w:szCs w:val="20"/>
                <w:lang w:val="sr-Latn-ME"/>
              </w:rPr>
              <w:t>Materijal za održavanje higijene i kancelarijski materijal</w:t>
            </w:r>
          </w:p>
        </w:tc>
        <w:tc>
          <w:tcPr>
            <w:tcW w:w="1390" w:type="dxa"/>
            <w:tcBorders>
              <w:top w:val="single" w:color="000000" w:sz="4" w:space="0"/>
              <w:left w:val="single" w:color="000000" w:sz="4" w:space="0"/>
              <w:bottom w:val="single" w:color="000000" w:sz="4" w:space="0"/>
              <w:right w:val="double" w:color="000000" w:sz="4" w:space="0"/>
            </w:tcBorders>
          </w:tcPr>
          <w:p>
            <w:pPr>
              <w:jc w:val="right"/>
            </w:pPr>
            <w:r>
              <w:rPr>
                <w:sz w:val="20"/>
                <w:szCs w:val="20"/>
              </w:rPr>
              <w:t>1.688,01</w:t>
            </w:r>
          </w:p>
        </w:tc>
      </w:tr>
      <w:tr>
        <w:tblPrEx>
          <w:tblCellMar>
            <w:top w:w="0" w:type="dxa"/>
            <w:left w:w="108" w:type="dxa"/>
            <w:bottom w:w="0" w:type="dxa"/>
            <w:right w:w="108" w:type="dxa"/>
          </w:tblCellMar>
        </w:tblPrEx>
        <w:trPr>
          <w:trHeight w:val="365" w:hRule="atLeast"/>
          <w:jc w:val="center"/>
        </w:trPr>
        <w:tc>
          <w:tcPr>
            <w:tcW w:w="743" w:type="dxa"/>
            <w:tcBorders>
              <w:top w:val="single" w:color="000000" w:sz="4" w:space="0"/>
              <w:left w:val="double" w:color="000000" w:sz="4" w:space="0"/>
              <w:bottom w:val="single" w:color="000000" w:sz="4" w:space="0"/>
              <w:right w:val="single" w:color="000000" w:sz="4" w:space="0"/>
            </w:tcBorders>
          </w:tcPr>
          <w:p>
            <w:pPr>
              <w:rPr>
                <w:sz w:val="20"/>
                <w:szCs w:val="20"/>
              </w:rPr>
            </w:pPr>
            <w:r>
              <w:rPr>
                <w:sz w:val="20"/>
                <w:szCs w:val="20"/>
              </w:rPr>
              <w:t>3.</w:t>
            </w:r>
          </w:p>
        </w:tc>
        <w:tc>
          <w:tcPr>
            <w:tcW w:w="7469" w:type="dxa"/>
            <w:tcBorders>
              <w:top w:val="single" w:color="000000" w:sz="4" w:space="0"/>
              <w:left w:val="single" w:color="000000" w:sz="4" w:space="0"/>
              <w:bottom w:val="single" w:color="000000" w:sz="4" w:space="0"/>
              <w:right w:val="single" w:color="000000" w:sz="4" w:space="0"/>
            </w:tcBorders>
          </w:tcPr>
          <w:p>
            <w:pPr>
              <w:rPr>
                <w:sz w:val="20"/>
                <w:szCs w:val="20"/>
                <w:lang w:val="sr-Latn-ME"/>
              </w:rPr>
            </w:pPr>
            <w:r>
              <w:rPr>
                <w:sz w:val="20"/>
                <w:szCs w:val="20"/>
                <w:lang w:val="sr-Latn-ME"/>
              </w:rPr>
              <w:t>Utrošak energenata ( struja, plin i gorivo )</w:t>
            </w:r>
          </w:p>
        </w:tc>
        <w:tc>
          <w:tcPr>
            <w:tcW w:w="1390" w:type="dxa"/>
            <w:tcBorders>
              <w:top w:val="single" w:color="000000" w:sz="4" w:space="0"/>
              <w:left w:val="single" w:color="000000" w:sz="4" w:space="0"/>
              <w:bottom w:val="single" w:color="000000" w:sz="4" w:space="0"/>
              <w:right w:val="double" w:color="000000" w:sz="4" w:space="0"/>
            </w:tcBorders>
          </w:tcPr>
          <w:p>
            <w:pPr>
              <w:jc w:val="right"/>
            </w:pPr>
            <w:r>
              <w:rPr>
                <w:sz w:val="20"/>
                <w:szCs w:val="20"/>
              </w:rPr>
              <w:t>5.359,29</w:t>
            </w:r>
          </w:p>
        </w:tc>
      </w:tr>
      <w:tr>
        <w:tblPrEx>
          <w:tblCellMar>
            <w:top w:w="0" w:type="dxa"/>
            <w:left w:w="108" w:type="dxa"/>
            <w:bottom w:w="0" w:type="dxa"/>
            <w:right w:w="108" w:type="dxa"/>
          </w:tblCellMar>
        </w:tblPrEx>
        <w:trPr>
          <w:trHeight w:val="450" w:hRule="atLeast"/>
          <w:jc w:val="center"/>
        </w:trPr>
        <w:tc>
          <w:tcPr>
            <w:tcW w:w="743" w:type="dxa"/>
            <w:tcBorders>
              <w:top w:val="single" w:color="000000" w:sz="4" w:space="0"/>
              <w:left w:val="double" w:color="000000" w:sz="4" w:space="0"/>
              <w:bottom w:val="single" w:color="000000" w:sz="4" w:space="0"/>
              <w:right w:val="single" w:color="000000" w:sz="4" w:space="0"/>
            </w:tcBorders>
          </w:tcPr>
          <w:p>
            <w:pPr>
              <w:rPr>
                <w:sz w:val="20"/>
                <w:szCs w:val="20"/>
              </w:rPr>
            </w:pPr>
            <w:r>
              <w:rPr>
                <w:sz w:val="20"/>
                <w:szCs w:val="20"/>
              </w:rPr>
              <w:t>4.</w:t>
            </w:r>
          </w:p>
        </w:tc>
        <w:tc>
          <w:tcPr>
            <w:tcW w:w="7469" w:type="dxa"/>
            <w:tcBorders>
              <w:top w:val="single" w:color="000000" w:sz="4" w:space="0"/>
              <w:left w:val="single" w:color="000000" w:sz="4" w:space="0"/>
              <w:bottom w:val="single" w:color="000000" w:sz="4" w:space="0"/>
              <w:right w:val="single" w:color="000000" w:sz="4" w:space="0"/>
            </w:tcBorders>
          </w:tcPr>
          <w:p>
            <w:pPr>
              <w:rPr>
                <w:sz w:val="20"/>
                <w:szCs w:val="20"/>
                <w:lang w:val="sr-Latn-ME"/>
              </w:rPr>
            </w:pPr>
            <w:r>
              <w:rPr>
                <w:sz w:val="20"/>
                <w:szCs w:val="20"/>
                <w:lang w:val="sr-Latn-ME"/>
              </w:rPr>
              <w:t>Troškovi zarada, naknada zarada, ostali lični rashodi i doprinosi na teret poslodavca</w:t>
            </w:r>
          </w:p>
        </w:tc>
        <w:tc>
          <w:tcPr>
            <w:tcW w:w="1390" w:type="dxa"/>
            <w:tcBorders>
              <w:top w:val="single" w:color="000000" w:sz="4" w:space="0"/>
              <w:left w:val="single" w:color="000000" w:sz="4" w:space="0"/>
              <w:bottom w:val="single" w:color="000000" w:sz="4" w:space="0"/>
              <w:right w:val="double" w:color="000000" w:sz="4" w:space="0"/>
            </w:tcBorders>
          </w:tcPr>
          <w:p>
            <w:pPr>
              <w:jc w:val="right"/>
            </w:pPr>
            <w:r>
              <w:rPr>
                <w:sz w:val="20"/>
                <w:szCs w:val="20"/>
              </w:rPr>
              <w:t>124.177,55</w:t>
            </w:r>
          </w:p>
        </w:tc>
      </w:tr>
      <w:tr>
        <w:tblPrEx>
          <w:tblCellMar>
            <w:top w:w="0" w:type="dxa"/>
            <w:left w:w="108" w:type="dxa"/>
            <w:bottom w:w="0" w:type="dxa"/>
            <w:right w:w="108" w:type="dxa"/>
          </w:tblCellMar>
        </w:tblPrEx>
        <w:trPr>
          <w:trHeight w:val="365" w:hRule="atLeast"/>
          <w:jc w:val="center"/>
        </w:trPr>
        <w:tc>
          <w:tcPr>
            <w:tcW w:w="743" w:type="dxa"/>
            <w:tcBorders>
              <w:top w:val="single" w:color="000000" w:sz="4" w:space="0"/>
              <w:left w:val="double" w:color="000000" w:sz="4" w:space="0"/>
              <w:bottom w:val="single" w:color="000000" w:sz="4" w:space="0"/>
              <w:right w:val="single" w:color="000000" w:sz="4" w:space="0"/>
            </w:tcBorders>
          </w:tcPr>
          <w:p>
            <w:pPr>
              <w:rPr>
                <w:sz w:val="20"/>
                <w:szCs w:val="20"/>
              </w:rPr>
            </w:pPr>
            <w:r>
              <w:rPr>
                <w:sz w:val="20"/>
                <w:szCs w:val="20"/>
              </w:rPr>
              <w:t>5.</w:t>
            </w:r>
          </w:p>
        </w:tc>
        <w:tc>
          <w:tcPr>
            <w:tcW w:w="7469" w:type="dxa"/>
            <w:tcBorders>
              <w:top w:val="single" w:color="000000" w:sz="4" w:space="0"/>
              <w:left w:val="single" w:color="000000" w:sz="4" w:space="0"/>
              <w:bottom w:val="single" w:color="000000" w:sz="4" w:space="0"/>
              <w:right w:val="single" w:color="000000" w:sz="4" w:space="0"/>
            </w:tcBorders>
          </w:tcPr>
          <w:p>
            <w:pPr>
              <w:rPr>
                <w:sz w:val="20"/>
                <w:szCs w:val="20"/>
                <w:lang w:val="sr-Latn-ME"/>
              </w:rPr>
            </w:pPr>
            <w:r>
              <w:rPr>
                <w:sz w:val="20"/>
                <w:szCs w:val="20"/>
                <w:lang w:val="sr-Latn-ME"/>
              </w:rPr>
              <w:t>Amortizacija</w:t>
            </w:r>
          </w:p>
        </w:tc>
        <w:tc>
          <w:tcPr>
            <w:tcW w:w="1390" w:type="dxa"/>
            <w:tcBorders>
              <w:top w:val="single" w:color="000000" w:sz="4" w:space="0"/>
              <w:left w:val="single" w:color="000000" w:sz="4" w:space="0"/>
              <w:bottom w:val="single" w:color="000000" w:sz="4" w:space="0"/>
              <w:right w:val="double" w:color="000000" w:sz="4" w:space="0"/>
            </w:tcBorders>
          </w:tcPr>
          <w:p>
            <w:pPr>
              <w:jc w:val="right"/>
            </w:pPr>
            <w:r>
              <w:rPr>
                <w:sz w:val="20"/>
                <w:szCs w:val="20"/>
              </w:rPr>
              <w:t>2.155,63</w:t>
            </w:r>
          </w:p>
        </w:tc>
      </w:tr>
      <w:tr>
        <w:tblPrEx>
          <w:tblCellMar>
            <w:top w:w="0" w:type="dxa"/>
            <w:left w:w="108" w:type="dxa"/>
            <w:bottom w:w="0" w:type="dxa"/>
            <w:right w:w="108" w:type="dxa"/>
          </w:tblCellMar>
        </w:tblPrEx>
        <w:trPr>
          <w:trHeight w:val="376" w:hRule="atLeast"/>
          <w:jc w:val="center"/>
        </w:trPr>
        <w:tc>
          <w:tcPr>
            <w:tcW w:w="743" w:type="dxa"/>
            <w:tcBorders>
              <w:top w:val="single" w:color="000000" w:sz="4" w:space="0"/>
              <w:left w:val="double" w:color="000000" w:sz="4" w:space="0"/>
              <w:bottom w:val="single" w:color="000000" w:sz="4" w:space="0"/>
              <w:right w:val="single" w:color="000000" w:sz="4" w:space="0"/>
            </w:tcBorders>
          </w:tcPr>
          <w:p>
            <w:pPr>
              <w:rPr>
                <w:sz w:val="20"/>
                <w:szCs w:val="20"/>
              </w:rPr>
            </w:pPr>
            <w:r>
              <w:rPr>
                <w:sz w:val="20"/>
                <w:szCs w:val="20"/>
              </w:rPr>
              <w:t>6.</w:t>
            </w:r>
          </w:p>
        </w:tc>
        <w:tc>
          <w:tcPr>
            <w:tcW w:w="7469" w:type="dxa"/>
            <w:tcBorders>
              <w:top w:val="single" w:color="000000" w:sz="4" w:space="0"/>
              <w:left w:val="single" w:color="000000" w:sz="4" w:space="0"/>
              <w:bottom w:val="single" w:color="000000" w:sz="4" w:space="0"/>
              <w:right w:val="single" w:color="000000" w:sz="4" w:space="0"/>
            </w:tcBorders>
          </w:tcPr>
          <w:p>
            <w:r>
              <w:rPr>
                <w:sz w:val="20"/>
                <w:szCs w:val="20"/>
                <w:lang w:val="sr-Latn-ME"/>
              </w:rPr>
              <w:t>Ostala poslovna terećenja</w:t>
            </w:r>
            <w:r>
              <w:rPr>
                <w:sz w:val="20"/>
                <w:szCs w:val="20"/>
              </w:rPr>
              <w:t>:</w:t>
            </w:r>
          </w:p>
        </w:tc>
        <w:tc>
          <w:tcPr>
            <w:tcW w:w="1390" w:type="dxa"/>
            <w:tcBorders>
              <w:top w:val="single" w:color="000000" w:sz="4" w:space="0"/>
              <w:left w:val="single" w:color="000000" w:sz="4" w:space="0"/>
              <w:bottom w:val="single" w:color="000000" w:sz="4" w:space="0"/>
              <w:right w:val="double" w:color="000000" w:sz="4" w:space="0"/>
            </w:tcBorders>
          </w:tcPr>
          <w:p>
            <w:pPr>
              <w:jc w:val="right"/>
            </w:pPr>
            <w:r>
              <w:rPr>
                <w:sz w:val="20"/>
                <w:szCs w:val="20"/>
              </w:rPr>
              <w:t>12.597,20</w:t>
            </w:r>
          </w:p>
        </w:tc>
      </w:tr>
      <w:tr>
        <w:tblPrEx>
          <w:tblCellMar>
            <w:top w:w="0" w:type="dxa"/>
            <w:left w:w="108" w:type="dxa"/>
            <w:bottom w:w="0" w:type="dxa"/>
            <w:right w:w="108" w:type="dxa"/>
          </w:tblCellMar>
        </w:tblPrEx>
        <w:trPr>
          <w:trHeight w:val="365" w:hRule="atLeast"/>
          <w:jc w:val="center"/>
        </w:trPr>
        <w:tc>
          <w:tcPr>
            <w:tcW w:w="743" w:type="dxa"/>
            <w:vMerge w:val="restart"/>
            <w:tcBorders>
              <w:top w:val="single" w:color="000000" w:sz="4" w:space="0"/>
              <w:left w:val="double" w:color="000000" w:sz="4" w:space="0"/>
              <w:bottom w:val="single" w:color="000000" w:sz="4" w:space="0"/>
              <w:right w:val="single" w:color="000000" w:sz="4" w:space="0"/>
            </w:tcBorders>
          </w:tcPr>
          <w:p>
            <w:pPr>
              <w:snapToGrid w:val="0"/>
              <w:rPr>
                <w:sz w:val="20"/>
                <w:szCs w:val="20"/>
              </w:rPr>
            </w:pPr>
          </w:p>
        </w:tc>
        <w:tc>
          <w:tcPr>
            <w:tcW w:w="7469" w:type="dxa"/>
            <w:tcBorders>
              <w:top w:val="single" w:color="000000" w:sz="4" w:space="0"/>
              <w:left w:val="single" w:color="000000" w:sz="4" w:space="0"/>
              <w:bottom w:val="single" w:color="000000" w:sz="4" w:space="0"/>
              <w:right w:val="single" w:color="000000" w:sz="4" w:space="0"/>
            </w:tcBorders>
          </w:tcPr>
          <w:p>
            <w:pPr>
              <w:rPr>
                <w:sz w:val="20"/>
                <w:szCs w:val="20"/>
                <w:lang w:val="sr-Latn-ME"/>
              </w:rPr>
            </w:pPr>
            <w:r>
              <w:rPr>
                <w:sz w:val="20"/>
                <w:szCs w:val="20"/>
                <w:lang w:val="sr-Latn-ME"/>
              </w:rPr>
              <w:t>PTT troškovi</w:t>
            </w:r>
          </w:p>
        </w:tc>
        <w:tc>
          <w:tcPr>
            <w:tcW w:w="1390" w:type="dxa"/>
            <w:tcBorders>
              <w:top w:val="single" w:color="000000" w:sz="4" w:space="0"/>
              <w:left w:val="single" w:color="000000" w:sz="4" w:space="0"/>
              <w:bottom w:val="single" w:color="000000" w:sz="4" w:space="0"/>
              <w:right w:val="double" w:color="000000" w:sz="4" w:space="0"/>
            </w:tcBorders>
          </w:tcPr>
          <w:p>
            <w:pPr>
              <w:jc w:val="right"/>
            </w:pPr>
            <w:r>
              <w:rPr>
                <w:sz w:val="20"/>
                <w:szCs w:val="20"/>
              </w:rPr>
              <w:t>1.104,34</w:t>
            </w:r>
          </w:p>
        </w:tc>
      </w:tr>
      <w:tr>
        <w:tblPrEx>
          <w:tblCellMar>
            <w:top w:w="0" w:type="dxa"/>
            <w:left w:w="108" w:type="dxa"/>
            <w:bottom w:w="0" w:type="dxa"/>
            <w:right w:w="108" w:type="dxa"/>
          </w:tblCellMar>
        </w:tblPrEx>
        <w:trPr>
          <w:trHeight w:val="365" w:hRule="atLeast"/>
          <w:jc w:val="center"/>
        </w:trPr>
        <w:tc>
          <w:tcPr>
            <w:tcW w:w="743" w:type="dxa"/>
            <w:vMerge w:val="continue"/>
            <w:tcBorders>
              <w:top w:val="single" w:color="000000" w:sz="4" w:space="0"/>
              <w:left w:val="double" w:color="000000" w:sz="4" w:space="0"/>
              <w:bottom w:val="single" w:color="000000" w:sz="4" w:space="0"/>
              <w:right w:val="single" w:color="000000" w:sz="4" w:space="0"/>
            </w:tcBorders>
          </w:tcPr>
          <w:p>
            <w:pPr>
              <w:snapToGrid w:val="0"/>
              <w:rPr>
                <w:sz w:val="20"/>
                <w:szCs w:val="20"/>
              </w:rPr>
            </w:pPr>
          </w:p>
        </w:tc>
        <w:tc>
          <w:tcPr>
            <w:tcW w:w="7469" w:type="dxa"/>
            <w:tcBorders>
              <w:top w:val="single" w:color="000000" w:sz="4" w:space="0"/>
              <w:left w:val="single" w:color="000000" w:sz="4" w:space="0"/>
              <w:bottom w:val="single" w:color="000000" w:sz="4" w:space="0"/>
              <w:right w:val="single" w:color="000000" w:sz="4" w:space="0"/>
            </w:tcBorders>
          </w:tcPr>
          <w:p>
            <w:pPr>
              <w:rPr>
                <w:sz w:val="20"/>
                <w:szCs w:val="20"/>
                <w:lang w:val="sr-Latn-ME"/>
              </w:rPr>
            </w:pPr>
            <w:r>
              <w:rPr>
                <w:sz w:val="20"/>
                <w:szCs w:val="20"/>
                <w:lang w:val="sr-Latn-ME"/>
              </w:rPr>
              <w:t>Troškovi usluga investicionog i tekućeg održavanja osnovnih sredstava</w:t>
            </w:r>
          </w:p>
        </w:tc>
        <w:tc>
          <w:tcPr>
            <w:tcW w:w="1390" w:type="dxa"/>
            <w:tcBorders>
              <w:top w:val="single" w:color="000000" w:sz="4" w:space="0"/>
              <w:left w:val="single" w:color="000000" w:sz="4" w:space="0"/>
              <w:bottom w:val="single" w:color="000000" w:sz="4" w:space="0"/>
              <w:right w:val="double" w:color="000000" w:sz="4" w:space="0"/>
            </w:tcBorders>
          </w:tcPr>
          <w:p>
            <w:pPr>
              <w:jc w:val="right"/>
            </w:pPr>
            <w:r>
              <w:rPr>
                <w:sz w:val="20"/>
                <w:szCs w:val="20"/>
              </w:rPr>
              <w:t>1.005,59</w:t>
            </w:r>
          </w:p>
        </w:tc>
      </w:tr>
      <w:tr>
        <w:tblPrEx>
          <w:tblCellMar>
            <w:top w:w="0" w:type="dxa"/>
            <w:left w:w="108" w:type="dxa"/>
            <w:bottom w:w="0" w:type="dxa"/>
            <w:right w:w="108" w:type="dxa"/>
          </w:tblCellMar>
        </w:tblPrEx>
        <w:trPr>
          <w:trHeight w:val="500" w:hRule="atLeast"/>
          <w:jc w:val="center"/>
        </w:trPr>
        <w:tc>
          <w:tcPr>
            <w:tcW w:w="743" w:type="dxa"/>
            <w:vMerge w:val="continue"/>
            <w:tcBorders>
              <w:top w:val="single" w:color="000000" w:sz="4" w:space="0"/>
              <w:left w:val="double" w:color="000000" w:sz="4" w:space="0"/>
              <w:bottom w:val="single" w:color="000000" w:sz="4" w:space="0"/>
              <w:right w:val="single" w:color="000000" w:sz="4" w:space="0"/>
            </w:tcBorders>
          </w:tcPr>
          <w:p>
            <w:pPr>
              <w:snapToGrid w:val="0"/>
              <w:rPr>
                <w:sz w:val="20"/>
                <w:szCs w:val="20"/>
              </w:rPr>
            </w:pPr>
          </w:p>
        </w:tc>
        <w:tc>
          <w:tcPr>
            <w:tcW w:w="7469" w:type="dxa"/>
            <w:tcBorders>
              <w:top w:val="single" w:color="000000" w:sz="4" w:space="0"/>
              <w:left w:val="single" w:color="000000" w:sz="4" w:space="0"/>
              <w:bottom w:val="single" w:color="000000" w:sz="4" w:space="0"/>
              <w:right w:val="single" w:color="000000" w:sz="4" w:space="0"/>
            </w:tcBorders>
          </w:tcPr>
          <w:p>
            <w:pPr>
              <w:rPr>
                <w:sz w:val="20"/>
                <w:szCs w:val="20"/>
                <w:lang w:val="sr-Latn-ME"/>
              </w:rPr>
            </w:pPr>
            <w:r>
              <w:rPr>
                <w:sz w:val="20"/>
                <w:szCs w:val="20"/>
                <w:lang w:val="sr-Latn-ME"/>
              </w:rPr>
              <w:t>Troškovi reklame, osiguranja zaposlenih, obezbjeđenja objekta i ostali nematerijalni troškovi</w:t>
            </w:r>
          </w:p>
        </w:tc>
        <w:tc>
          <w:tcPr>
            <w:tcW w:w="1390" w:type="dxa"/>
            <w:tcBorders>
              <w:top w:val="single" w:color="000000" w:sz="4" w:space="0"/>
              <w:left w:val="single" w:color="000000" w:sz="4" w:space="0"/>
              <w:bottom w:val="single" w:color="000000" w:sz="4" w:space="0"/>
              <w:right w:val="double" w:color="000000" w:sz="4" w:space="0"/>
            </w:tcBorders>
          </w:tcPr>
          <w:p>
            <w:pPr>
              <w:jc w:val="right"/>
            </w:pPr>
            <w:r>
              <w:rPr>
                <w:sz w:val="20"/>
                <w:szCs w:val="20"/>
              </w:rPr>
              <w:t>4.861,32</w:t>
            </w:r>
          </w:p>
        </w:tc>
      </w:tr>
      <w:tr>
        <w:tblPrEx>
          <w:tblCellMar>
            <w:top w:w="0" w:type="dxa"/>
            <w:left w:w="108" w:type="dxa"/>
            <w:bottom w:w="0" w:type="dxa"/>
            <w:right w:w="108" w:type="dxa"/>
          </w:tblCellMar>
        </w:tblPrEx>
        <w:trPr>
          <w:trHeight w:val="595" w:hRule="atLeast"/>
          <w:jc w:val="center"/>
        </w:trPr>
        <w:tc>
          <w:tcPr>
            <w:tcW w:w="743" w:type="dxa"/>
            <w:vMerge w:val="continue"/>
            <w:tcBorders>
              <w:top w:val="single" w:color="000000" w:sz="4" w:space="0"/>
              <w:left w:val="double" w:color="000000" w:sz="4" w:space="0"/>
              <w:bottom w:val="single" w:color="000000" w:sz="4" w:space="0"/>
              <w:right w:val="single" w:color="000000" w:sz="4" w:space="0"/>
            </w:tcBorders>
          </w:tcPr>
          <w:p>
            <w:pPr>
              <w:snapToGrid w:val="0"/>
              <w:rPr>
                <w:sz w:val="20"/>
                <w:szCs w:val="20"/>
              </w:rPr>
            </w:pPr>
          </w:p>
        </w:tc>
        <w:tc>
          <w:tcPr>
            <w:tcW w:w="7469" w:type="dxa"/>
            <w:tcBorders>
              <w:top w:val="single" w:color="000000" w:sz="4" w:space="0"/>
              <w:left w:val="single" w:color="000000" w:sz="4" w:space="0"/>
              <w:bottom w:val="double" w:color="000000" w:sz="4" w:space="0"/>
              <w:right w:val="single" w:color="000000" w:sz="4" w:space="0"/>
            </w:tcBorders>
          </w:tcPr>
          <w:p>
            <w:pPr>
              <w:rPr>
                <w:sz w:val="20"/>
                <w:szCs w:val="20"/>
                <w:lang w:val="sr-Latn-ME"/>
              </w:rPr>
            </w:pPr>
            <w:r>
              <w:rPr>
                <w:sz w:val="20"/>
                <w:szCs w:val="20"/>
                <w:lang w:val="sr-Latn-ME"/>
              </w:rPr>
              <w:t>Troškovi rashoda iz ranijih godina, troškovi vode, komunalnih usluga, uniforme, sanitarni pregledi, zaštita na radu, muzika i sl.</w:t>
            </w:r>
          </w:p>
        </w:tc>
        <w:tc>
          <w:tcPr>
            <w:tcW w:w="1390" w:type="dxa"/>
            <w:tcBorders>
              <w:top w:val="single" w:color="000000" w:sz="4" w:space="0"/>
              <w:left w:val="single" w:color="000000" w:sz="4" w:space="0"/>
              <w:bottom w:val="double" w:color="000000" w:sz="4" w:space="0"/>
              <w:right w:val="double" w:color="000000" w:sz="4" w:space="0"/>
            </w:tcBorders>
          </w:tcPr>
          <w:p>
            <w:pPr>
              <w:jc w:val="right"/>
            </w:pPr>
            <w:r>
              <w:rPr>
                <w:sz w:val="20"/>
                <w:szCs w:val="20"/>
              </w:rPr>
              <w:t>5.625,95</w:t>
            </w:r>
          </w:p>
        </w:tc>
      </w:tr>
      <w:tr>
        <w:tblPrEx>
          <w:tblCellMar>
            <w:top w:w="0" w:type="dxa"/>
            <w:left w:w="108" w:type="dxa"/>
            <w:bottom w:w="0" w:type="dxa"/>
            <w:right w:w="108" w:type="dxa"/>
          </w:tblCellMar>
        </w:tblPrEx>
        <w:trPr>
          <w:trHeight w:val="324" w:hRule="atLeast"/>
          <w:jc w:val="center"/>
        </w:trPr>
        <w:tc>
          <w:tcPr>
            <w:tcW w:w="8212" w:type="dxa"/>
            <w:gridSpan w:val="2"/>
            <w:tcBorders>
              <w:top w:val="double" w:color="000000" w:sz="4" w:space="0"/>
              <w:left w:val="double" w:color="000000" w:sz="4" w:space="0"/>
              <w:bottom w:val="double" w:color="000000" w:sz="4" w:space="0"/>
              <w:right w:val="double" w:color="000000" w:sz="4" w:space="0"/>
            </w:tcBorders>
            <w:shd w:val="clear" w:color="auto" w:fill="F2DCDC"/>
          </w:tcPr>
          <w:p>
            <w:pPr>
              <w:jc w:val="center"/>
              <w:rPr>
                <w:b/>
                <w:sz w:val="20"/>
                <w:szCs w:val="20"/>
                <w:lang w:val="sr-Latn-ME"/>
              </w:rPr>
            </w:pPr>
            <w:r>
              <w:rPr>
                <w:b/>
                <w:sz w:val="20"/>
                <w:szCs w:val="20"/>
                <w:lang w:val="sr-Latn-ME"/>
              </w:rPr>
              <w:t>UKUPNI RASHODI</w:t>
            </w:r>
          </w:p>
        </w:tc>
        <w:tc>
          <w:tcPr>
            <w:tcW w:w="1390" w:type="dxa"/>
            <w:tcBorders>
              <w:top w:val="double" w:color="000000" w:sz="4" w:space="0"/>
              <w:left w:val="double" w:color="000000" w:sz="4" w:space="0"/>
              <w:bottom w:val="double" w:color="000000" w:sz="4" w:space="0"/>
              <w:right w:val="double" w:color="000000" w:sz="4" w:space="0"/>
            </w:tcBorders>
            <w:shd w:val="clear" w:color="auto" w:fill="F2DCDC"/>
          </w:tcPr>
          <w:p>
            <w:pPr>
              <w:jc w:val="right"/>
            </w:pPr>
            <w:r>
              <w:rPr>
                <w:b/>
                <w:sz w:val="20"/>
                <w:szCs w:val="20"/>
              </w:rPr>
              <w:t>149.222,18</w:t>
            </w:r>
          </w:p>
        </w:tc>
      </w:tr>
    </w:tbl>
    <w:p>
      <w:pPr>
        <w:ind w:firstLine="720"/>
        <w:rPr>
          <w:sz w:val="26"/>
          <w:szCs w:val="26"/>
        </w:rPr>
      </w:pPr>
    </w:p>
    <w:p>
      <w:pPr>
        <w:ind w:firstLine="720"/>
        <w:jc w:val="both"/>
        <w:rPr>
          <w:sz w:val="24"/>
          <w:szCs w:val="24"/>
          <w:lang w:val="sr-Latn-ME"/>
        </w:rPr>
      </w:pPr>
      <w:r>
        <w:rPr>
          <w:sz w:val="24"/>
          <w:szCs w:val="24"/>
          <w:lang w:val="sr-Latn-ME"/>
        </w:rPr>
        <w:t xml:space="preserve">Ostvareni prihodi od pružanja ugostiteljskih usluga u 2023. godini su manji u odnosu na prethodnu godinu za 7.052,44 €. Izdaci po osnovu zarada, naknada i ostalih ličnih rashoda iznose 124.177,55 €.              </w:t>
      </w:r>
    </w:p>
    <w:p>
      <w:pPr>
        <w:ind w:firstLine="720"/>
        <w:jc w:val="both"/>
        <w:rPr>
          <w:sz w:val="24"/>
          <w:szCs w:val="24"/>
          <w:lang w:val="sr-Latn-ME"/>
        </w:rPr>
      </w:pPr>
      <w:r>
        <w:rPr>
          <w:sz w:val="24"/>
          <w:szCs w:val="24"/>
          <w:lang w:val="sr-Latn-ME"/>
        </w:rPr>
        <w:t>Ostvarenje plana prihoda restorana:</w:t>
      </w:r>
    </w:p>
    <w:tbl>
      <w:tblPr>
        <w:tblStyle w:val="7"/>
        <w:tblW w:w="5000" w:type="pct"/>
        <w:jc w:val="center"/>
        <w:tblLayout w:type="fixed"/>
        <w:tblCellMar>
          <w:top w:w="0" w:type="dxa"/>
          <w:left w:w="108" w:type="dxa"/>
          <w:bottom w:w="0" w:type="dxa"/>
          <w:right w:w="108" w:type="dxa"/>
        </w:tblCellMar>
      </w:tblPr>
      <w:tblGrid>
        <w:gridCol w:w="4844"/>
        <w:gridCol w:w="1390"/>
        <w:gridCol w:w="1465"/>
        <w:gridCol w:w="2119"/>
      </w:tblGrid>
      <w:tr>
        <w:tblPrEx>
          <w:tblCellMar>
            <w:top w:w="0" w:type="dxa"/>
            <w:left w:w="108" w:type="dxa"/>
            <w:bottom w:w="0" w:type="dxa"/>
            <w:right w:w="108" w:type="dxa"/>
          </w:tblCellMar>
        </w:tblPrEx>
        <w:trPr>
          <w:trHeight w:val="850" w:hRule="exact"/>
          <w:jc w:val="center"/>
        </w:trPr>
        <w:tc>
          <w:tcPr>
            <w:tcW w:w="4737" w:type="dxa"/>
            <w:tcBorders>
              <w:top w:val="double" w:color="000000" w:sz="4" w:space="0"/>
              <w:left w:val="double" w:color="000000" w:sz="4" w:space="0"/>
              <w:bottom w:val="double" w:color="000000" w:sz="4" w:space="0"/>
              <w:right w:val="double" w:color="000000" w:sz="4" w:space="0"/>
            </w:tcBorders>
            <w:shd w:val="clear" w:color="auto" w:fill="F2DCDC"/>
            <w:vAlign w:val="center"/>
          </w:tcPr>
          <w:p>
            <w:pPr>
              <w:ind w:firstLine="720"/>
              <w:jc w:val="center"/>
              <w:rPr>
                <w:b/>
                <w:sz w:val="24"/>
                <w:szCs w:val="24"/>
                <w:lang w:val="sr-Latn-ME"/>
              </w:rPr>
            </w:pPr>
            <w:r>
              <w:rPr>
                <w:b/>
                <w:sz w:val="24"/>
                <w:szCs w:val="24"/>
                <w:lang w:val="sr-Latn-ME"/>
              </w:rPr>
              <w:t>Opis</w:t>
            </w:r>
          </w:p>
        </w:tc>
        <w:tc>
          <w:tcPr>
            <w:tcW w:w="1359"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rPr>
                <w:b/>
                <w:sz w:val="24"/>
                <w:szCs w:val="24"/>
                <w:lang w:val="sr-Latn-ME"/>
              </w:rPr>
            </w:pPr>
            <w:r>
              <w:rPr>
                <w:b/>
                <w:sz w:val="24"/>
                <w:szCs w:val="24"/>
                <w:lang w:val="sr-Latn-ME"/>
              </w:rPr>
              <w:t>Plan</w:t>
            </w:r>
          </w:p>
        </w:tc>
        <w:tc>
          <w:tcPr>
            <w:tcW w:w="1433"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rPr>
                <w:b/>
                <w:sz w:val="24"/>
                <w:szCs w:val="24"/>
                <w:lang w:val="sr-Latn-ME"/>
              </w:rPr>
            </w:pPr>
            <w:r>
              <w:rPr>
                <w:b/>
                <w:sz w:val="24"/>
                <w:szCs w:val="24"/>
                <w:lang w:val="sr-Latn-ME"/>
              </w:rPr>
              <w:t>Ostvareno</w:t>
            </w:r>
          </w:p>
        </w:tc>
        <w:tc>
          <w:tcPr>
            <w:tcW w:w="2072"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rPr>
                <w:b/>
                <w:sz w:val="24"/>
                <w:szCs w:val="24"/>
                <w:lang w:val="sr-Latn-ME"/>
              </w:rPr>
            </w:pPr>
            <w:r>
              <w:rPr>
                <w:b/>
                <w:sz w:val="24"/>
                <w:szCs w:val="24"/>
                <w:lang w:val="sr-Latn-ME"/>
              </w:rPr>
              <w:t>Indeks</w:t>
            </w:r>
          </w:p>
          <w:p>
            <w:pPr>
              <w:jc w:val="center"/>
            </w:pPr>
            <w:r>
              <w:rPr>
                <w:b/>
                <w:sz w:val="24"/>
                <w:szCs w:val="24"/>
                <w:lang w:val="sr-Latn-ME"/>
              </w:rPr>
              <w:t>ostvarenje</w:t>
            </w:r>
            <w:r>
              <w:rPr>
                <w:b/>
                <w:sz w:val="24"/>
                <w:szCs w:val="24"/>
              </w:rPr>
              <w:t>/</w:t>
            </w:r>
            <w:r>
              <w:rPr>
                <w:b/>
                <w:sz w:val="24"/>
                <w:szCs w:val="24"/>
                <w:lang w:val="sr-Latn-ME"/>
              </w:rPr>
              <w:t>plan</w:t>
            </w:r>
          </w:p>
        </w:tc>
      </w:tr>
      <w:tr>
        <w:tblPrEx>
          <w:tblCellMar>
            <w:top w:w="0" w:type="dxa"/>
            <w:left w:w="108" w:type="dxa"/>
            <w:bottom w:w="0" w:type="dxa"/>
            <w:right w:w="108" w:type="dxa"/>
          </w:tblCellMar>
        </w:tblPrEx>
        <w:trPr>
          <w:trHeight w:val="567" w:hRule="exact"/>
          <w:jc w:val="center"/>
        </w:trPr>
        <w:tc>
          <w:tcPr>
            <w:tcW w:w="4737" w:type="dxa"/>
            <w:tcBorders>
              <w:top w:val="double" w:color="000000" w:sz="4" w:space="0"/>
              <w:left w:val="double" w:color="000000" w:sz="4" w:space="0"/>
              <w:bottom w:val="double" w:color="000000" w:sz="4" w:space="0"/>
              <w:right w:val="double" w:color="000000" w:sz="4" w:space="0"/>
            </w:tcBorders>
            <w:vAlign w:val="center"/>
          </w:tcPr>
          <w:p>
            <w:pPr>
              <w:jc w:val="center"/>
              <w:rPr>
                <w:sz w:val="20"/>
                <w:szCs w:val="20"/>
                <w:lang w:val="sr-Latn-ME"/>
              </w:rPr>
            </w:pPr>
            <w:r>
              <w:rPr>
                <w:sz w:val="20"/>
                <w:szCs w:val="20"/>
                <w:lang w:val="sr-Latn-ME"/>
              </w:rPr>
              <w:t>Prihodi od pružanja ugostiteljskih usluga</w:t>
            </w:r>
          </w:p>
        </w:tc>
        <w:tc>
          <w:tcPr>
            <w:tcW w:w="1359" w:type="dxa"/>
            <w:tcBorders>
              <w:top w:val="double" w:color="000000" w:sz="4" w:space="0"/>
              <w:left w:val="double" w:color="000000" w:sz="4" w:space="0"/>
              <w:bottom w:val="double" w:color="000000" w:sz="4" w:space="0"/>
              <w:right w:val="double" w:color="000000" w:sz="4" w:space="0"/>
            </w:tcBorders>
            <w:vAlign w:val="center"/>
          </w:tcPr>
          <w:p>
            <w:pPr>
              <w:jc w:val="center"/>
              <w:rPr>
                <w:sz w:val="20"/>
                <w:szCs w:val="20"/>
              </w:rPr>
            </w:pPr>
            <w:r>
              <w:rPr>
                <w:sz w:val="20"/>
                <w:szCs w:val="20"/>
              </w:rPr>
              <w:t>50.000,00</w:t>
            </w:r>
          </w:p>
        </w:tc>
        <w:tc>
          <w:tcPr>
            <w:tcW w:w="1433" w:type="dxa"/>
            <w:tcBorders>
              <w:top w:val="double" w:color="000000" w:sz="4" w:space="0"/>
              <w:left w:val="double" w:color="000000" w:sz="4" w:space="0"/>
              <w:bottom w:val="double" w:color="000000" w:sz="4" w:space="0"/>
              <w:right w:val="double" w:color="000000" w:sz="4" w:space="0"/>
            </w:tcBorders>
            <w:vAlign w:val="center"/>
          </w:tcPr>
          <w:p>
            <w:pPr>
              <w:jc w:val="center"/>
              <w:rPr>
                <w:sz w:val="20"/>
                <w:szCs w:val="20"/>
              </w:rPr>
            </w:pPr>
            <w:r>
              <w:rPr>
                <w:sz w:val="20"/>
                <w:szCs w:val="20"/>
              </w:rPr>
              <w:t>14.108,06</w:t>
            </w:r>
          </w:p>
        </w:tc>
        <w:tc>
          <w:tcPr>
            <w:tcW w:w="2072" w:type="dxa"/>
            <w:tcBorders>
              <w:top w:val="double" w:color="000000" w:sz="4" w:space="0"/>
              <w:left w:val="double" w:color="000000" w:sz="4" w:space="0"/>
              <w:bottom w:val="double" w:color="000000" w:sz="4" w:space="0"/>
              <w:right w:val="double" w:color="000000" w:sz="4" w:space="0"/>
            </w:tcBorders>
            <w:vAlign w:val="center"/>
          </w:tcPr>
          <w:p>
            <w:pPr>
              <w:ind w:firstLine="720"/>
              <w:jc w:val="both"/>
              <w:rPr>
                <w:sz w:val="20"/>
                <w:szCs w:val="20"/>
              </w:rPr>
            </w:pPr>
            <w:r>
              <w:rPr>
                <w:sz w:val="20"/>
                <w:szCs w:val="20"/>
              </w:rPr>
              <w:t>28%</w:t>
            </w:r>
          </w:p>
        </w:tc>
      </w:tr>
    </w:tbl>
    <w:p>
      <w:pPr>
        <w:rPr>
          <w:sz w:val="26"/>
          <w:szCs w:val="26"/>
        </w:rPr>
      </w:pPr>
      <w:r>
        <w:rPr>
          <w:sz w:val="26"/>
          <w:szCs w:val="26"/>
        </w:rPr>
        <w:tab/>
      </w:r>
    </w:p>
    <w:p>
      <w:pPr>
        <w:ind w:firstLine="850"/>
        <w:jc w:val="both"/>
        <w:rPr>
          <w:sz w:val="24"/>
          <w:szCs w:val="24"/>
          <w:lang w:val="sr-Latn-ME"/>
        </w:rPr>
      </w:pPr>
      <w:r>
        <w:rPr>
          <w:sz w:val="24"/>
          <w:szCs w:val="24"/>
          <w:lang w:val="sr-Latn-ME"/>
        </w:rPr>
        <w:t>U 2023. godini prihodi od ugostiteljskih usluga manji su za 72 % od plana zbog pada u tražnji ovih usluga, uslovljene opštom ekonomskom situacijom.</w:t>
      </w:r>
    </w:p>
    <w:p>
      <w:pPr>
        <w:ind w:firstLine="850"/>
        <w:jc w:val="center"/>
        <w:rPr>
          <w:sz w:val="20"/>
          <w:szCs w:val="20"/>
          <w:lang w:val="sr-Latn-ME"/>
        </w:rPr>
      </w:pPr>
      <w:r>
        <w:rPr>
          <w:i/>
          <w:sz w:val="20"/>
          <w:szCs w:val="20"/>
          <w:lang w:val="sr-Latn-ME"/>
        </w:rPr>
        <w:t xml:space="preserve">Slika br.7: Restoran J.P. „Sportski centar Nikšić“ </w:t>
      </w:r>
    </w:p>
    <w:p>
      <w:pPr>
        <w:ind w:firstLine="850"/>
        <w:jc w:val="center"/>
        <w:rPr>
          <w:sz w:val="26"/>
          <w:szCs w:val="26"/>
        </w:rPr>
      </w:pPr>
      <w:r>
        <w:drawing>
          <wp:inline distT="0" distB="0" distL="0" distR="0">
            <wp:extent cx="5708650" cy="4121150"/>
            <wp:effectExtent l="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4"/>
                    <pic:cNvPicPr>
                      <a:picLocks noChangeAspect="1" noChangeArrowheads="1"/>
                    </pic:cNvPicPr>
                  </pic:nvPicPr>
                  <pic:blipFill>
                    <a:blip r:embed="rId18"/>
                    <a:srcRect l="-9" t="-13" r="-9" b="-13"/>
                    <a:stretch>
                      <a:fillRect/>
                    </a:stretch>
                  </pic:blipFill>
                  <pic:spPr>
                    <a:xfrm>
                      <a:off x="0" y="0"/>
                      <a:ext cx="5708650" cy="4121150"/>
                    </a:xfrm>
                    <a:prstGeom prst="rect">
                      <a:avLst/>
                    </a:prstGeom>
                  </pic:spPr>
                </pic:pic>
              </a:graphicData>
            </a:graphic>
          </wp:inline>
        </w:drawing>
      </w:r>
    </w:p>
    <w:p>
      <w:pPr>
        <w:pStyle w:val="2"/>
        <w:jc w:val="center"/>
        <w:rPr>
          <w:rFonts w:hint="eastAsia" w:ascii="Lucida Sans Unicode" w:hAnsi="Lucida Sans Unicode" w:cs="Lucida Sans Unicode"/>
        </w:rPr>
      </w:pPr>
      <w:bookmarkStart w:id="20" w:name="__RefHeading___Toc2280_3382316548"/>
      <w:bookmarkEnd w:id="20"/>
      <w:bookmarkStart w:id="21" w:name="_Toc160109713"/>
      <w:r>
        <w:rPr>
          <w:rFonts w:ascii="Lucida Sans Unicode" w:hAnsi="Lucida Sans Unicode" w:cs="Lucida Sans Unicode"/>
        </w:rPr>
        <w:t>4. ANALIZA BILANSA STANjA</w:t>
      </w:r>
      <w:bookmarkEnd w:id="21"/>
    </w:p>
    <w:p>
      <w:pPr>
        <w:jc w:val="center"/>
        <w:rPr>
          <w:i/>
          <w:sz w:val="20"/>
          <w:szCs w:val="20"/>
          <w:lang w:val="sr-Latn-ME"/>
        </w:rPr>
      </w:pPr>
      <w:r>
        <w:rPr>
          <w:i/>
          <w:sz w:val="20"/>
          <w:szCs w:val="20"/>
          <w:lang w:val="sr-Latn-ME"/>
        </w:rPr>
        <w:t>Tabela 4.1.: Analiza bilansa stanja</w:t>
      </w:r>
    </w:p>
    <w:tbl>
      <w:tblPr>
        <w:tblStyle w:val="7"/>
        <w:tblW w:w="5000" w:type="pct"/>
        <w:tblInd w:w="0" w:type="dxa"/>
        <w:tblLayout w:type="fixed"/>
        <w:tblCellMar>
          <w:top w:w="0" w:type="dxa"/>
          <w:left w:w="108" w:type="dxa"/>
          <w:bottom w:w="0" w:type="dxa"/>
          <w:right w:w="108" w:type="dxa"/>
        </w:tblCellMar>
      </w:tblPr>
      <w:tblGrid>
        <w:gridCol w:w="634"/>
        <w:gridCol w:w="3505"/>
        <w:gridCol w:w="1876"/>
        <w:gridCol w:w="889"/>
        <w:gridCol w:w="1839"/>
        <w:gridCol w:w="1075"/>
      </w:tblGrid>
      <w:tr>
        <w:tblPrEx>
          <w:tblCellMar>
            <w:top w:w="0" w:type="dxa"/>
            <w:left w:w="108" w:type="dxa"/>
            <w:bottom w:w="0" w:type="dxa"/>
            <w:right w:w="108" w:type="dxa"/>
          </w:tblCellMar>
        </w:tblPrEx>
        <w:trPr>
          <w:trHeight w:val="321" w:hRule="atLeast"/>
        </w:trPr>
        <w:tc>
          <w:tcPr>
            <w:tcW w:w="620" w:type="dxa"/>
            <w:tcBorders>
              <w:top w:val="double" w:color="000000" w:sz="4" w:space="0"/>
              <w:left w:val="double" w:color="000000" w:sz="4" w:space="0"/>
              <w:bottom w:val="double" w:color="000000" w:sz="4" w:space="0"/>
              <w:right w:val="double" w:color="000000" w:sz="4" w:space="0"/>
            </w:tcBorders>
            <w:shd w:val="clear" w:color="auto" w:fill="F2DCDC"/>
            <w:vAlign w:val="center"/>
          </w:tcPr>
          <w:p>
            <w:pPr>
              <w:snapToGrid w:val="0"/>
              <w:jc w:val="center"/>
              <w:rPr>
                <w:rFonts w:eastAsia="Arial Unicode MS;Arial"/>
                <w:b/>
              </w:rPr>
            </w:pPr>
          </w:p>
        </w:tc>
        <w:tc>
          <w:tcPr>
            <w:tcW w:w="3428"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pPr>
            <w:r>
              <w:rPr>
                <w:rFonts w:eastAsia="Arial Unicode MS;Arial"/>
                <w:b/>
              </w:rPr>
              <w:t>A</w:t>
            </w:r>
            <w:r>
              <w:rPr>
                <w:rFonts w:eastAsia="Arial Unicode MS;Arial"/>
                <w:b/>
                <w:lang w:val="sr-Latn-ME"/>
              </w:rPr>
              <w:t>KTIVA</w:t>
            </w:r>
          </w:p>
        </w:tc>
        <w:tc>
          <w:tcPr>
            <w:tcW w:w="1835"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rPr>
                <w:rFonts w:eastAsia="Arial Unicode MS;Arial"/>
                <w:b/>
              </w:rPr>
            </w:pPr>
            <w:r>
              <w:rPr>
                <w:rFonts w:eastAsia="Arial Unicode MS;Arial"/>
                <w:b/>
              </w:rPr>
              <w:t>2022</w:t>
            </w:r>
          </w:p>
        </w:tc>
        <w:tc>
          <w:tcPr>
            <w:tcW w:w="869"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rPr>
                <w:rFonts w:eastAsia="Arial Unicode MS;Arial"/>
                <w:b/>
              </w:rPr>
            </w:pPr>
            <w:r>
              <w:rPr>
                <w:rFonts w:eastAsia="Arial Unicode MS;Arial"/>
                <w:b/>
              </w:rPr>
              <w:t>%</w:t>
            </w:r>
          </w:p>
        </w:tc>
        <w:tc>
          <w:tcPr>
            <w:tcW w:w="1798"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pPr>
            <w:r>
              <w:rPr>
                <w:rFonts w:eastAsia="Arial Unicode MS;Arial"/>
                <w:b/>
              </w:rPr>
              <w:t>2023</w:t>
            </w:r>
          </w:p>
        </w:tc>
        <w:tc>
          <w:tcPr>
            <w:tcW w:w="1051"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rPr>
                <w:rFonts w:eastAsia="Arial Unicode MS;Arial"/>
                <w:b/>
              </w:rPr>
            </w:pPr>
            <w:r>
              <w:rPr>
                <w:rFonts w:eastAsia="Arial Unicode MS;Arial"/>
                <w:b/>
              </w:rPr>
              <w:t>%</w:t>
            </w:r>
          </w:p>
        </w:tc>
      </w:tr>
      <w:tr>
        <w:tblPrEx>
          <w:tblCellMar>
            <w:top w:w="0" w:type="dxa"/>
            <w:left w:w="108" w:type="dxa"/>
            <w:bottom w:w="0" w:type="dxa"/>
            <w:right w:w="108" w:type="dxa"/>
          </w:tblCellMar>
        </w:tblPrEx>
        <w:trPr>
          <w:trHeight w:val="336" w:hRule="atLeast"/>
        </w:trPr>
        <w:tc>
          <w:tcPr>
            <w:tcW w:w="620" w:type="dxa"/>
            <w:tcBorders>
              <w:top w:val="double" w:color="000000" w:sz="4" w:space="0"/>
              <w:left w:val="double" w:color="000000" w:sz="4" w:space="0"/>
              <w:bottom w:val="single" w:color="000000" w:sz="4" w:space="0"/>
              <w:right w:val="single" w:color="000000" w:sz="4" w:space="0"/>
            </w:tcBorders>
            <w:vAlign w:val="bottom"/>
          </w:tcPr>
          <w:p>
            <w:pPr>
              <w:jc w:val="center"/>
              <w:rPr>
                <w:rFonts w:eastAsia="Arial Unicode MS;Arial"/>
              </w:rPr>
            </w:pPr>
            <w:r>
              <w:rPr>
                <w:rFonts w:eastAsia="Arial Unicode MS;Arial"/>
              </w:rPr>
              <w:t>A</w:t>
            </w:r>
          </w:p>
        </w:tc>
        <w:tc>
          <w:tcPr>
            <w:tcW w:w="3428" w:type="dxa"/>
            <w:tcBorders>
              <w:top w:val="double" w:color="000000" w:sz="4" w:space="0"/>
              <w:left w:val="single" w:color="000000" w:sz="4" w:space="0"/>
              <w:bottom w:val="single" w:color="000000" w:sz="4" w:space="0"/>
              <w:right w:val="single" w:color="000000" w:sz="4" w:space="0"/>
            </w:tcBorders>
          </w:tcPr>
          <w:p>
            <w:pPr>
              <w:jc w:val="both"/>
              <w:rPr>
                <w:rFonts w:eastAsia="Arial Unicode MS;Arial"/>
                <w:lang w:val="sr-Latn-ME"/>
              </w:rPr>
            </w:pPr>
            <w:r>
              <w:rPr>
                <w:rFonts w:eastAsia="Arial Unicode MS;Arial"/>
                <w:lang w:val="sr-Latn-ME"/>
              </w:rPr>
              <w:t>Stalna imovina</w:t>
            </w:r>
          </w:p>
        </w:tc>
        <w:tc>
          <w:tcPr>
            <w:tcW w:w="1835" w:type="dxa"/>
            <w:tcBorders>
              <w:top w:val="double" w:color="000000" w:sz="4" w:space="0"/>
              <w:left w:val="single" w:color="000000" w:sz="4" w:space="0"/>
              <w:bottom w:val="single" w:color="000000" w:sz="4" w:space="0"/>
              <w:right w:val="single" w:color="000000" w:sz="4" w:space="0"/>
            </w:tcBorders>
          </w:tcPr>
          <w:p>
            <w:pPr>
              <w:jc w:val="right"/>
            </w:pPr>
            <w:r>
              <w:rPr>
                <w:rFonts w:eastAsia="Arial Unicode MS;Arial"/>
              </w:rPr>
              <w:t>8.984.955,74</w:t>
            </w:r>
          </w:p>
        </w:tc>
        <w:tc>
          <w:tcPr>
            <w:tcW w:w="869" w:type="dxa"/>
            <w:tcBorders>
              <w:top w:val="double" w:color="000000" w:sz="4" w:space="0"/>
              <w:left w:val="single" w:color="000000" w:sz="4" w:space="0"/>
              <w:bottom w:val="single" w:color="000000" w:sz="4" w:space="0"/>
              <w:right w:val="double" w:color="000000" w:sz="4" w:space="0"/>
            </w:tcBorders>
          </w:tcPr>
          <w:p>
            <w:pPr>
              <w:jc w:val="center"/>
            </w:pPr>
            <w:r>
              <w:rPr>
                <w:rFonts w:eastAsia="Arial Unicode MS;Arial"/>
              </w:rPr>
              <w:t>91,30</w:t>
            </w:r>
          </w:p>
        </w:tc>
        <w:tc>
          <w:tcPr>
            <w:tcW w:w="1798" w:type="dxa"/>
            <w:tcBorders>
              <w:top w:val="double" w:color="000000" w:sz="4" w:space="0"/>
              <w:left w:val="single" w:color="000000" w:sz="4" w:space="0"/>
              <w:bottom w:val="single" w:color="000000" w:sz="4" w:space="0"/>
              <w:right w:val="single" w:color="000000" w:sz="4" w:space="0"/>
            </w:tcBorders>
          </w:tcPr>
          <w:p>
            <w:pPr>
              <w:jc w:val="right"/>
            </w:pPr>
            <w:r>
              <w:rPr>
                <w:rFonts w:eastAsia="Arial Unicode MS;Arial"/>
              </w:rPr>
              <w:t>8.776.929,67</w:t>
            </w:r>
          </w:p>
        </w:tc>
        <w:tc>
          <w:tcPr>
            <w:tcW w:w="1051" w:type="dxa"/>
            <w:tcBorders>
              <w:top w:val="double" w:color="000000" w:sz="4" w:space="0"/>
              <w:left w:val="single" w:color="000000" w:sz="4" w:space="0"/>
              <w:bottom w:val="single" w:color="000000" w:sz="4" w:space="0"/>
              <w:right w:val="double" w:color="000000" w:sz="4" w:space="0"/>
            </w:tcBorders>
          </w:tcPr>
          <w:p>
            <w:pPr>
              <w:jc w:val="center"/>
            </w:pPr>
            <w:r>
              <w:rPr>
                <w:rFonts w:eastAsia="Arial Unicode MS;Arial"/>
              </w:rPr>
              <w:t>91,68</w:t>
            </w:r>
          </w:p>
        </w:tc>
      </w:tr>
      <w:tr>
        <w:tblPrEx>
          <w:tblCellMar>
            <w:top w:w="0" w:type="dxa"/>
            <w:left w:w="108" w:type="dxa"/>
            <w:bottom w:w="0" w:type="dxa"/>
            <w:right w:w="108" w:type="dxa"/>
          </w:tblCellMar>
        </w:tblPrEx>
        <w:trPr>
          <w:trHeight w:val="336" w:hRule="atLeast"/>
        </w:trPr>
        <w:tc>
          <w:tcPr>
            <w:tcW w:w="620" w:type="dxa"/>
            <w:tcBorders>
              <w:top w:val="single" w:color="000000" w:sz="4" w:space="0"/>
              <w:left w:val="double" w:color="000000" w:sz="4" w:space="0"/>
              <w:bottom w:val="single" w:color="000000" w:sz="2" w:space="0"/>
              <w:right w:val="single" w:color="000000" w:sz="4" w:space="0"/>
            </w:tcBorders>
            <w:vAlign w:val="bottom"/>
          </w:tcPr>
          <w:p>
            <w:pPr>
              <w:jc w:val="center"/>
              <w:rPr>
                <w:rFonts w:eastAsia="Arial Unicode MS;Arial"/>
              </w:rPr>
            </w:pPr>
            <w:r>
              <w:rPr>
                <w:rFonts w:eastAsia="Arial Unicode MS;Arial"/>
              </w:rPr>
              <w:t>I</w:t>
            </w:r>
          </w:p>
        </w:tc>
        <w:tc>
          <w:tcPr>
            <w:tcW w:w="3428" w:type="dxa"/>
            <w:tcBorders>
              <w:top w:val="single" w:color="000000" w:sz="4" w:space="0"/>
              <w:left w:val="single" w:color="000000" w:sz="4" w:space="0"/>
              <w:bottom w:val="single" w:color="000000" w:sz="2" w:space="0"/>
              <w:right w:val="single" w:color="000000" w:sz="4" w:space="0"/>
            </w:tcBorders>
          </w:tcPr>
          <w:p>
            <w:pPr>
              <w:jc w:val="both"/>
              <w:rPr>
                <w:rFonts w:eastAsia="Arial Unicode MS;Arial"/>
                <w:lang w:val="sr-Latn-ME"/>
              </w:rPr>
            </w:pPr>
            <w:r>
              <w:rPr>
                <w:rFonts w:eastAsia="Arial Unicode MS;Arial"/>
                <w:lang w:val="sr-Latn-ME"/>
              </w:rPr>
              <w:t>Nematerijalna imovina</w:t>
            </w:r>
          </w:p>
        </w:tc>
        <w:tc>
          <w:tcPr>
            <w:tcW w:w="1835" w:type="dxa"/>
            <w:tcBorders>
              <w:top w:val="single" w:color="000000" w:sz="4" w:space="0"/>
              <w:left w:val="single" w:color="000000" w:sz="4" w:space="0"/>
              <w:bottom w:val="single" w:color="000000" w:sz="2" w:space="0"/>
              <w:right w:val="single" w:color="000000" w:sz="4" w:space="0"/>
            </w:tcBorders>
          </w:tcPr>
          <w:p>
            <w:pPr>
              <w:jc w:val="right"/>
            </w:pPr>
            <w:r>
              <w:rPr>
                <w:rFonts w:eastAsia="Arial Unicode MS;Arial"/>
              </w:rPr>
              <w:t>199,66</w:t>
            </w:r>
          </w:p>
        </w:tc>
        <w:tc>
          <w:tcPr>
            <w:tcW w:w="869" w:type="dxa"/>
            <w:tcBorders>
              <w:top w:val="single" w:color="000000" w:sz="4" w:space="0"/>
              <w:left w:val="single" w:color="000000" w:sz="4" w:space="0"/>
              <w:bottom w:val="single" w:color="000000" w:sz="2" w:space="0"/>
              <w:right w:val="double" w:color="000000" w:sz="4" w:space="0"/>
            </w:tcBorders>
          </w:tcPr>
          <w:p>
            <w:pPr>
              <w:jc w:val="center"/>
              <w:rPr>
                <w:rFonts w:eastAsia="Arial Unicode MS;Arial"/>
              </w:rPr>
            </w:pPr>
            <w:r>
              <w:rPr>
                <w:rFonts w:eastAsia="Arial Unicode MS;Arial"/>
              </w:rPr>
              <w:t>0,00</w:t>
            </w:r>
          </w:p>
        </w:tc>
        <w:tc>
          <w:tcPr>
            <w:tcW w:w="1798" w:type="dxa"/>
            <w:tcBorders>
              <w:top w:val="single" w:color="000000" w:sz="4" w:space="0"/>
              <w:left w:val="single" w:color="000000" w:sz="4" w:space="0"/>
              <w:bottom w:val="single" w:color="000000" w:sz="2" w:space="0"/>
              <w:right w:val="single" w:color="000000" w:sz="4" w:space="0"/>
            </w:tcBorders>
          </w:tcPr>
          <w:p>
            <w:pPr>
              <w:jc w:val="right"/>
            </w:pPr>
            <w:r>
              <w:rPr>
                <w:rFonts w:eastAsia="Arial Unicode MS;Arial"/>
              </w:rPr>
              <w:t>159,73</w:t>
            </w:r>
          </w:p>
        </w:tc>
        <w:tc>
          <w:tcPr>
            <w:tcW w:w="1051" w:type="dxa"/>
            <w:tcBorders>
              <w:top w:val="single" w:color="000000" w:sz="4" w:space="0"/>
              <w:left w:val="single" w:color="000000" w:sz="4" w:space="0"/>
              <w:bottom w:val="single" w:color="000000" w:sz="2" w:space="0"/>
              <w:right w:val="double" w:color="000000" w:sz="4" w:space="0"/>
            </w:tcBorders>
          </w:tcPr>
          <w:p>
            <w:pPr>
              <w:jc w:val="center"/>
              <w:rPr>
                <w:rFonts w:eastAsia="Arial Unicode MS;Arial"/>
              </w:rPr>
            </w:pPr>
            <w:r>
              <w:rPr>
                <w:rFonts w:eastAsia="Arial Unicode MS;Arial"/>
              </w:rPr>
              <w:t>0,00</w:t>
            </w:r>
          </w:p>
        </w:tc>
      </w:tr>
      <w:tr>
        <w:tblPrEx>
          <w:tblCellMar>
            <w:top w:w="0" w:type="dxa"/>
            <w:left w:w="108" w:type="dxa"/>
            <w:bottom w:w="0" w:type="dxa"/>
            <w:right w:w="108" w:type="dxa"/>
          </w:tblCellMar>
        </w:tblPrEx>
        <w:trPr>
          <w:trHeight w:val="336" w:hRule="atLeast"/>
        </w:trPr>
        <w:tc>
          <w:tcPr>
            <w:tcW w:w="620" w:type="dxa"/>
            <w:tcBorders>
              <w:top w:val="single" w:color="000000" w:sz="2" w:space="0"/>
              <w:left w:val="double" w:color="000000" w:sz="4" w:space="0"/>
              <w:bottom w:val="single" w:color="000000" w:sz="12" w:space="0"/>
              <w:right w:val="single" w:color="000000" w:sz="2" w:space="0"/>
            </w:tcBorders>
            <w:vAlign w:val="bottom"/>
          </w:tcPr>
          <w:p>
            <w:pPr>
              <w:jc w:val="center"/>
              <w:rPr>
                <w:rFonts w:eastAsia="Arial Unicode MS;Arial"/>
              </w:rPr>
            </w:pPr>
            <w:r>
              <w:rPr>
                <w:rFonts w:eastAsia="Arial Unicode MS;Arial"/>
              </w:rPr>
              <w:t>II</w:t>
            </w:r>
          </w:p>
        </w:tc>
        <w:tc>
          <w:tcPr>
            <w:tcW w:w="3428" w:type="dxa"/>
            <w:tcBorders>
              <w:top w:val="single" w:color="000000" w:sz="2" w:space="0"/>
              <w:left w:val="single" w:color="000000" w:sz="2" w:space="0"/>
              <w:bottom w:val="single" w:color="000000" w:sz="12" w:space="0"/>
              <w:right w:val="single" w:color="000000" w:sz="2" w:space="0"/>
            </w:tcBorders>
          </w:tcPr>
          <w:p>
            <w:pPr>
              <w:jc w:val="both"/>
              <w:rPr>
                <w:rFonts w:eastAsia="Arial Unicode MS;Arial"/>
                <w:lang w:val="sr-Latn-ME"/>
              </w:rPr>
            </w:pPr>
            <w:r>
              <w:rPr>
                <w:rFonts w:eastAsia="Arial Unicode MS;Arial"/>
                <w:lang w:val="sr-Latn-ME"/>
              </w:rPr>
              <w:t>Osnovna sredstva</w:t>
            </w:r>
          </w:p>
        </w:tc>
        <w:tc>
          <w:tcPr>
            <w:tcW w:w="1835" w:type="dxa"/>
            <w:tcBorders>
              <w:top w:val="single" w:color="000000" w:sz="2" w:space="0"/>
              <w:left w:val="single" w:color="000000" w:sz="2" w:space="0"/>
              <w:bottom w:val="single" w:color="000000" w:sz="12" w:space="0"/>
              <w:right w:val="single" w:color="000000" w:sz="2" w:space="0"/>
            </w:tcBorders>
          </w:tcPr>
          <w:p>
            <w:pPr>
              <w:jc w:val="right"/>
            </w:pPr>
            <w:r>
              <w:rPr>
                <w:rFonts w:eastAsia="Arial Unicode MS;Arial"/>
              </w:rPr>
              <w:t>8.984.756,08</w:t>
            </w:r>
          </w:p>
        </w:tc>
        <w:tc>
          <w:tcPr>
            <w:tcW w:w="869" w:type="dxa"/>
            <w:tcBorders>
              <w:top w:val="single" w:color="000000" w:sz="2" w:space="0"/>
              <w:left w:val="single" w:color="000000" w:sz="2" w:space="0"/>
              <w:bottom w:val="single" w:color="000000" w:sz="12" w:space="0"/>
              <w:right w:val="double" w:color="000000" w:sz="4" w:space="0"/>
            </w:tcBorders>
          </w:tcPr>
          <w:p>
            <w:pPr>
              <w:jc w:val="center"/>
            </w:pPr>
            <w:r>
              <w:rPr>
                <w:rFonts w:eastAsia="Arial Unicode MS;Arial"/>
              </w:rPr>
              <w:t>91,30</w:t>
            </w:r>
          </w:p>
        </w:tc>
        <w:tc>
          <w:tcPr>
            <w:tcW w:w="1798" w:type="dxa"/>
            <w:tcBorders>
              <w:top w:val="single" w:color="000000" w:sz="2" w:space="0"/>
              <w:left w:val="single" w:color="000000" w:sz="2" w:space="0"/>
              <w:bottom w:val="single" w:color="000000" w:sz="12" w:space="0"/>
              <w:right w:val="single" w:color="000000" w:sz="2" w:space="0"/>
            </w:tcBorders>
          </w:tcPr>
          <w:p>
            <w:pPr>
              <w:jc w:val="right"/>
            </w:pPr>
            <w:r>
              <w:rPr>
                <w:rFonts w:eastAsia="Arial Unicode MS;Arial"/>
              </w:rPr>
              <w:t>8.776.769,94</w:t>
            </w:r>
          </w:p>
        </w:tc>
        <w:tc>
          <w:tcPr>
            <w:tcW w:w="1051" w:type="dxa"/>
            <w:tcBorders>
              <w:top w:val="single" w:color="000000" w:sz="2" w:space="0"/>
              <w:left w:val="single" w:color="000000" w:sz="2" w:space="0"/>
              <w:bottom w:val="single" w:color="000000" w:sz="12" w:space="0"/>
              <w:right w:val="double" w:color="000000" w:sz="4" w:space="0"/>
            </w:tcBorders>
          </w:tcPr>
          <w:p>
            <w:pPr>
              <w:jc w:val="center"/>
            </w:pPr>
            <w:r>
              <w:rPr>
                <w:rFonts w:eastAsia="Arial Unicode MS;Arial"/>
              </w:rPr>
              <w:t>91,67</w:t>
            </w:r>
          </w:p>
        </w:tc>
      </w:tr>
      <w:tr>
        <w:tblPrEx>
          <w:tblCellMar>
            <w:top w:w="0" w:type="dxa"/>
            <w:left w:w="108" w:type="dxa"/>
            <w:bottom w:w="0" w:type="dxa"/>
            <w:right w:w="108" w:type="dxa"/>
          </w:tblCellMar>
        </w:tblPrEx>
        <w:trPr>
          <w:trHeight w:val="336" w:hRule="atLeast"/>
        </w:trPr>
        <w:tc>
          <w:tcPr>
            <w:tcW w:w="620" w:type="dxa"/>
            <w:vMerge w:val="restart"/>
            <w:tcBorders>
              <w:top w:val="single" w:color="000000" w:sz="12" w:space="0"/>
              <w:left w:val="double" w:color="000000" w:sz="4" w:space="0"/>
              <w:bottom w:val="single" w:color="000000" w:sz="4" w:space="0"/>
              <w:right w:val="single" w:color="000000" w:sz="4" w:space="0"/>
            </w:tcBorders>
            <w:vAlign w:val="bottom"/>
          </w:tcPr>
          <w:p>
            <w:pPr>
              <w:snapToGrid w:val="0"/>
              <w:jc w:val="center"/>
              <w:rPr>
                <w:rFonts w:eastAsia="Arial Unicode MS;Arial"/>
              </w:rPr>
            </w:pPr>
          </w:p>
        </w:tc>
        <w:tc>
          <w:tcPr>
            <w:tcW w:w="3428" w:type="dxa"/>
            <w:tcBorders>
              <w:top w:val="single" w:color="000000" w:sz="12" w:space="0"/>
              <w:left w:val="single" w:color="000000" w:sz="4" w:space="0"/>
              <w:bottom w:val="single" w:color="000000" w:sz="4" w:space="0"/>
              <w:right w:val="single" w:color="000000" w:sz="4" w:space="0"/>
            </w:tcBorders>
          </w:tcPr>
          <w:p>
            <w:pPr>
              <w:jc w:val="both"/>
              <w:rPr>
                <w:lang w:val="sr-Latn-ME"/>
              </w:rPr>
            </w:pPr>
            <w:r>
              <w:rPr>
                <w:lang w:val="sr-Latn-ME"/>
              </w:rPr>
              <w:t>Građevinski objekti i oprema</w:t>
            </w:r>
          </w:p>
        </w:tc>
        <w:tc>
          <w:tcPr>
            <w:tcW w:w="1835" w:type="dxa"/>
            <w:tcBorders>
              <w:top w:val="single" w:color="000000" w:sz="12" w:space="0"/>
              <w:left w:val="single" w:color="000000" w:sz="4" w:space="0"/>
              <w:bottom w:val="single" w:color="000000" w:sz="4" w:space="0"/>
              <w:right w:val="single" w:color="000000" w:sz="4" w:space="0"/>
            </w:tcBorders>
          </w:tcPr>
          <w:p>
            <w:pPr>
              <w:jc w:val="right"/>
            </w:pPr>
            <w:r>
              <w:rPr>
                <w:rFonts w:eastAsia="Arial Unicode MS;Arial"/>
              </w:rPr>
              <w:t>8.521.484,13</w:t>
            </w:r>
          </w:p>
        </w:tc>
        <w:tc>
          <w:tcPr>
            <w:tcW w:w="869" w:type="dxa"/>
            <w:tcBorders>
              <w:top w:val="single" w:color="000000" w:sz="12" w:space="0"/>
              <w:left w:val="single" w:color="000000" w:sz="4" w:space="0"/>
              <w:bottom w:val="single" w:color="000000" w:sz="4" w:space="0"/>
              <w:right w:val="double" w:color="000000" w:sz="4" w:space="0"/>
            </w:tcBorders>
          </w:tcPr>
          <w:p>
            <w:pPr>
              <w:jc w:val="center"/>
            </w:pPr>
            <w:r>
              <w:rPr>
                <w:rFonts w:eastAsia="Arial Unicode MS;Arial"/>
              </w:rPr>
              <w:t>86,60</w:t>
            </w:r>
          </w:p>
        </w:tc>
        <w:tc>
          <w:tcPr>
            <w:tcW w:w="1798" w:type="dxa"/>
            <w:tcBorders>
              <w:top w:val="single" w:color="000000" w:sz="12" w:space="0"/>
              <w:left w:val="single" w:color="000000" w:sz="4" w:space="0"/>
              <w:bottom w:val="single" w:color="000000" w:sz="4" w:space="0"/>
              <w:right w:val="single" w:color="000000" w:sz="4" w:space="0"/>
            </w:tcBorders>
          </w:tcPr>
          <w:p>
            <w:pPr>
              <w:jc w:val="right"/>
            </w:pPr>
            <w:r>
              <w:rPr>
                <w:rFonts w:eastAsia="Arial Unicode MS;Arial"/>
              </w:rPr>
              <w:t>8.323.831,28</w:t>
            </w:r>
          </w:p>
        </w:tc>
        <w:tc>
          <w:tcPr>
            <w:tcW w:w="1051" w:type="dxa"/>
            <w:tcBorders>
              <w:top w:val="single" w:color="000000" w:sz="12" w:space="0"/>
              <w:left w:val="single" w:color="000000" w:sz="4" w:space="0"/>
              <w:bottom w:val="single" w:color="000000" w:sz="4" w:space="0"/>
              <w:right w:val="double" w:color="000000" w:sz="4" w:space="0"/>
            </w:tcBorders>
          </w:tcPr>
          <w:p>
            <w:pPr>
              <w:jc w:val="center"/>
            </w:pPr>
            <w:r>
              <w:rPr>
                <w:rFonts w:eastAsia="Arial Unicode MS;Arial"/>
              </w:rPr>
              <w:t>86,94</w:t>
            </w:r>
          </w:p>
        </w:tc>
      </w:tr>
      <w:tr>
        <w:tblPrEx>
          <w:tblCellMar>
            <w:top w:w="0" w:type="dxa"/>
            <w:left w:w="108" w:type="dxa"/>
            <w:bottom w:w="0" w:type="dxa"/>
            <w:right w:w="108" w:type="dxa"/>
          </w:tblCellMar>
        </w:tblPrEx>
        <w:trPr>
          <w:trHeight w:val="420" w:hRule="atLeast"/>
        </w:trPr>
        <w:tc>
          <w:tcPr>
            <w:tcW w:w="620" w:type="dxa"/>
            <w:vMerge w:val="continue"/>
            <w:tcBorders>
              <w:top w:val="single" w:color="000000" w:sz="12" w:space="0"/>
              <w:left w:val="double" w:color="000000" w:sz="4" w:space="0"/>
              <w:bottom w:val="single" w:color="000000" w:sz="4" w:space="0"/>
              <w:right w:val="single" w:color="000000" w:sz="4" w:space="0"/>
            </w:tcBorders>
            <w:vAlign w:val="bottom"/>
          </w:tcPr>
          <w:p>
            <w:pPr>
              <w:snapToGrid w:val="0"/>
              <w:jc w:val="center"/>
              <w:rPr>
                <w:rFonts w:eastAsia="Arial Unicode MS;Arial"/>
              </w:rPr>
            </w:pPr>
          </w:p>
        </w:tc>
        <w:tc>
          <w:tcPr>
            <w:tcW w:w="3428" w:type="dxa"/>
            <w:tcBorders>
              <w:top w:val="single" w:color="000000" w:sz="4" w:space="0"/>
              <w:left w:val="single" w:color="000000" w:sz="4" w:space="0"/>
              <w:bottom w:val="single" w:color="000000" w:sz="4" w:space="0"/>
              <w:right w:val="single" w:color="000000" w:sz="4" w:space="0"/>
            </w:tcBorders>
          </w:tcPr>
          <w:p>
            <w:pPr>
              <w:rPr>
                <w:lang w:val="sr-Latn-ME"/>
              </w:rPr>
            </w:pPr>
            <w:r>
              <w:rPr>
                <w:lang w:val="sr-Latn-ME"/>
              </w:rPr>
              <w:t>Materijalna ulaganja u pripremi</w:t>
            </w:r>
          </w:p>
        </w:tc>
        <w:tc>
          <w:tcPr>
            <w:tcW w:w="1835" w:type="dxa"/>
            <w:tcBorders>
              <w:top w:val="single" w:color="000000" w:sz="4" w:space="0"/>
              <w:left w:val="single" w:color="000000" w:sz="4" w:space="0"/>
              <w:bottom w:val="single" w:color="000000" w:sz="4" w:space="0"/>
              <w:right w:val="single" w:color="000000" w:sz="4" w:space="0"/>
            </w:tcBorders>
          </w:tcPr>
          <w:p>
            <w:pPr>
              <w:jc w:val="right"/>
              <w:rPr>
                <w:rFonts w:eastAsia="Arial Unicode MS;Arial"/>
              </w:rPr>
            </w:pPr>
            <w:r>
              <w:rPr>
                <w:rFonts w:eastAsia="Arial Unicode MS;Arial"/>
              </w:rPr>
              <w:t>15.403,23</w:t>
            </w:r>
          </w:p>
        </w:tc>
        <w:tc>
          <w:tcPr>
            <w:tcW w:w="869" w:type="dxa"/>
            <w:tcBorders>
              <w:top w:val="single" w:color="000000" w:sz="4" w:space="0"/>
              <w:left w:val="single" w:color="000000" w:sz="4" w:space="0"/>
              <w:bottom w:val="single" w:color="000000" w:sz="4" w:space="0"/>
              <w:right w:val="double" w:color="000000" w:sz="4" w:space="0"/>
            </w:tcBorders>
          </w:tcPr>
          <w:p>
            <w:pPr>
              <w:jc w:val="center"/>
            </w:pPr>
            <w:r>
              <w:rPr>
                <w:rFonts w:eastAsia="Arial Unicode MS;Arial"/>
              </w:rPr>
              <w:t>0,16</w:t>
            </w:r>
          </w:p>
        </w:tc>
        <w:tc>
          <w:tcPr>
            <w:tcW w:w="1798" w:type="dxa"/>
            <w:tcBorders>
              <w:top w:val="single" w:color="000000" w:sz="4" w:space="0"/>
              <w:left w:val="single" w:color="000000" w:sz="4" w:space="0"/>
              <w:bottom w:val="single" w:color="000000" w:sz="4" w:space="0"/>
              <w:right w:val="single" w:color="000000" w:sz="4" w:space="0"/>
            </w:tcBorders>
          </w:tcPr>
          <w:p>
            <w:pPr>
              <w:jc w:val="right"/>
              <w:rPr>
                <w:rFonts w:eastAsia="Arial Unicode MS;Arial"/>
              </w:rPr>
            </w:pPr>
            <w:r>
              <w:rPr>
                <w:rFonts w:eastAsia="Arial Unicode MS;Arial"/>
              </w:rPr>
              <w:t>15.403,23</w:t>
            </w:r>
          </w:p>
        </w:tc>
        <w:tc>
          <w:tcPr>
            <w:tcW w:w="1051" w:type="dxa"/>
            <w:tcBorders>
              <w:top w:val="single" w:color="000000" w:sz="4" w:space="0"/>
              <w:left w:val="single" w:color="000000" w:sz="4" w:space="0"/>
              <w:bottom w:val="single" w:color="000000" w:sz="4" w:space="0"/>
              <w:right w:val="double" w:color="000000" w:sz="4" w:space="0"/>
            </w:tcBorders>
          </w:tcPr>
          <w:p>
            <w:pPr>
              <w:jc w:val="center"/>
            </w:pPr>
            <w:r>
              <w:rPr>
                <w:rFonts w:eastAsia="Arial Unicode MS;Arial"/>
              </w:rPr>
              <w:t>0,16</w:t>
            </w:r>
          </w:p>
        </w:tc>
      </w:tr>
      <w:tr>
        <w:tblPrEx>
          <w:tblCellMar>
            <w:top w:w="0" w:type="dxa"/>
            <w:left w:w="108" w:type="dxa"/>
            <w:bottom w:w="0" w:type="dxa"/>
            <w:right w:w="108" w:type="dxa"/>
          </w:tblCellMar>
        </w:tblPrEx>
        <w:trPr>
          <w:trHeight w:val="355" w:hRule="atLeast"/>
        </w:trPr>
        <w:tc>
          <w:tcPr>
            <w:tcW w:w="620" w:type="dxa"/>
            <w:vMerge w:val="continue"/>
            <w:tcBorders>
              <w:top w:val="single" w:color="000000" w:sz="12" w:space="0"/>
              <w:left w:val="double" w:color="000000" w:sz="4" w:space="0"/>
              <w:bottom w:val="single" w:color="000000" w:sz="4" w:space="0"/>
              <w:right w:val="single" w:color="000000" w:sz="4" w:space="0"/>
            </w:tcBorders>
            <w:vAlign w:val="bottom"/>
          </w:tcPr>
          <w:p>
            <w:pPr>
              <w:snapToGrid w:val="0"/>
              <w:jc w:val="center"/>
              <w:rPr>
                <w:rFonts w:eastAsia="Arial Unicode MS;Arial"/>
              </w:rPr>
            </w:pPr>
          </w:p>
        </w:tc>
        <w:tc>
          <w:tcPr>
            <w:tcW w:w="3428" w:type="dxa"/>
            <w:tcBorders>
              <w:top w:val="single" w:color="000000" w:sz="4" w:space="0"/>
              <w:left w:val="single" w:color="000000" w:sz="4" w:space="0"/>
              <w:bottom w:val="single" w:color="000000" w:sz="12" w:space="0"/>
              <w:right w:val="single" w:color="000000" w:sz="4" w:space="0"/>
            </w:tcBorders>
          </w:tcPr>
          <w:p>
            <w:pPr>
              <w:rPr>
                <w:lang w:val="sr-Latn-ME"/>
              </w:rPr>
            </w:pPr>
            <w:r>
              <w:rPr>
                <w:lang w:val="sr-Latn-ME"/>
              </w:rPr>
              <w:t>Ulaganja na tuđim nekretninama</w:t>
            </w:r>
          </w:p>
        </w:tc>
        <w:tc>
          <w:tcPr>
            <w:tcW w:w="1835" w:type="dxa"/>
            <w:tcBorders>
              <w:top w:val="single" w:color="000000" w:sz="4" w:space="0"/>
              <w:left w:val="single" w:color="000000" w:sz="4" w:space="0"/>
              <w:bottom w:val="single" w:color="000000" w:sz="12" w:space="0"/>
              <w:right w:val="single" w:color="000000" w:sz="4" w:space="0"/>
            </w:tcBorders>
          </w:tcPr>
          <w:p>
            <w:pPr>
              <w:jc w:val="right"/>
            </w:pPr>
            <w:r>
              <w:rPr>
                <w:rFonts w:eastAsia="Arial Unicode MS;Arial"/>
              </w:rPr>
              <w:t>447.868,72</w:t>
            </w:r>
          </w:p>
        </w:tc>
        <w:tc>
          <w:tcPr>
            <w:tcW w:w="869" w:type="dxa"/>
            <w:tcBorders>
              <w:top w:val="single" w:color="000000" w:sz="4" w:space="0"/>
              <w:left w:val="single" w:color="000000" w:sz="4" w:space="0"/>
              <w:bottom w:val="single" w:color="000000" w:sz="12" w:space="0"/>
              <w:right w:val="double" w:color="000000" w:sz="4" w:space="0"/>
            </w:tcBorders>
          </w:tcPr>
          <w:p>
            <w:pPr>
              <w:jc w:val="center"/>
              <w:rPr>
                <w:rFonts w:eastAsia="Arial Unicode MS;Arial"/>
              </w:rPr>
            </w:pPr>
            <w:r>
              <w:rPr>
                <w:rFonts w:eastAsia="Arial Unicode MS;Arial"/>
              </w:rPr>
              <w:t>4,55</w:t>
            </w:r>
          </w:p>
        </w:tc>
        <w:tc>
          <w:tcPr>
            <w:tcW w:w="1798" w:type="dxa"/>
            <w:tcBorders>
              <w:top w:val="single" w:color="000000" w:sz="4" w:space="0"/>
              <w:left w:val="single" w:color="000000" w:sz="4" w:space="0"/>
              <w:bottom w:val="single" w:color="000000" w:sz="12" w:space="0"/>
              <w:right w:val="single" w:color="000000" w:sz="4" w:space="0"/>
            </w:tcBorders>
          </w:tcPr>
          <w:p>
            <w:pPr>
              <w:jc w:val="right"/>
            </w:pPr>
            <w:r>
              <w:rPr>
                <w:rFonts w:eastAsia="Arial Unicode MS;Arial"/>
              </w:rPr>
              <w:t>437.535,43</w:t>
            </w:r>
          </w:p>
        </w:tc>
        <w:tc>
          <w:tcPr>
            <w:tcW w:w="1051" w:type="dxa"/>
            <w:tcBorders>
              <w:top w:val="single" w:color="000000" w:sz="4" w:space="0"/>
              <w:left w:val="single" w:color="000000" w:sz="4" w:space="0"/>
              <w:bottom w:val="single" w:color="000000" w:sz="12" w:space="0"/>
              <w:right w:val="double" w:color="000000" w:sz="4" w:space="0"/>
            </w:tcBorders>
          </w:tcPr>
          <w:p>
            <w:pPr>
              <w:jc w:val="center"/>
              <w:rPr>
                <w:rFonts w:eastAsia="Arial Unicode MS;Arial"/>
              </w:rPr>
            </w:pPr>
            <w:r>
              <w:rPr>
                <w:rFonts w:eastAsia="Arial Unicode MS;Arial"/>
              </w:rPr>
              <w:t>4,57</w:t>
            </w:r>
          </w:p>
        </w:tc>
      </w:tr>
      <w:tr>
        <w:tblPrEx>
          <w:tblCellMar>
            <w:top w:w="0" w:type="dxa"/>
            <w:left w:w="108" w:type="dxa"/>
            <w:bottom w:w="0" w:type="dxa"/>
            <w:right w:w="108" w:type="dxa"/>
          </w:tblCellMar>
        </w:tblPrEx>
        <w:trPr>
          <w:trHeight w:val="685" w:hRule="atLeast"/>
        </w:trPr>
        <w:tc>
          <w:tcPr>
            <w:tcW w:w="620" w:type="dxa"/>
            <w:tcBorders>
              <w:top w:val="single" w:color="000000" w:sz="12" w:space="0"/>
              <w:left w:val="double" w:color="000000" w:sz="4" w:space="0"/>
              <w:bottom w:val="single" w:color="000000" w:sz="4" w:space="0"/>
              <w:right w:val="single" w:color="000000" w:sz="4" w:space="0"/>
            </w:tcBorders>
            <w:vAlign w:val="bottom"/>
          </w:tcPr>
          <w:p>
            <w:pPr>
              <w:jc w:val="center"/>
              <w:rPr>
                <w:rFonts w:eastAsia="Arial Unicode MS;Arial"/>
                <w:lang w:val="sr-Latn-ME"/>
              </w:rPr>
            </w:pPr>
            <w:r>
              <w:rPr>
                <w:rFonts w:eastAsia="Arial Unicode MS;Arial"/>
                <w:lang w:val="sr-Latn-ME"/>
              </w:rPr>
              <w:t>B</w:t>
            </w:r>
          </w:p>
        </w:tc>
        <w:tc>
          <w:tcPr>
            <w:tcW w:w="3428" w:type="dxa"/>
            <w:tcBorders>
              <w:top w:val="single" w:color="000000" w:sz="12" w:space="0"/>
              <w:left w:val="single" w:color="000000" w:sz="4" w:space="0"/>
              <w:bottom w:val="single" w:color="000000" w:sz="4" w:space="0"/>
              <w:right w:val="single" w:color="000000" w:sz="4" w:space="0"/>
            </w:tcBorders>
          </w:tcPr>
          <w:p>
            <w:pPr>
              <w:jc w:val="both"/>
              <w:rPr>
                <w:lang w:val="sr-Latn-ME"/>
              </w:rPr>
            </w:pPr>
            <w:r>
              <w:rPr>
                <w:lang w:val="sr-Latn-ME"/>
              </w:rPr>
              <w:t>Obrtna imovina i aktivna vremenska razgraničenja</w:t>
            </w:r>
          </w:p>
        </w:tc>
        <w:tc>
          <w:tcPr>
            <w:tcW w:w="1835" w:type="dxa"/>
            <w:tcBorders>
              <w:top w:val="single" w:color="000000" w:sz="12" w:space="0"/>
              <w:left w:val="single" w:color="000000" w:sz="4" w:space="0"/>
              <w:bottom w:val="single" w:color="000000" w:sz="4" w:space="0"/>
              <w:right w:val="single" w:color="000000" w:sz="4" w:space="0"/>
            </w:tcBorders>
          </w:tcPr>
          <w:p>
            <w:pPr>
              <w:jc w:val="right"/>
            </w:pPr>
            <w:r>
              <w:rPr>
                <w:rFonts w:eastAsia="Arial Unicode MS;Arial"/>
              </w:rPr>
              <w:t>855.646,90</w:t>
            </w:r>
          </w:p>
        </w:tc>
        <w:tc>
          <w:tcPr>
            <w:tcW w:w="869" w:type="dxa"/>
            <w:tcBorders>
              <w:top w:val="single" w:color="000000" w:sz="12" w:space="0"/>
              <w:left w:val="single" w:color="000000" w:sz="4" w:space="0"/>
              <w:bottom w:val="single" w:color="000000" w:sz="4" w:space="0"/>
              <w:right w:val="double" w:color="000000" w:sz="4" w:space="0"/>
            </w:tcBorders>
          </w:tcPr>
          <w:p>
            <w:pPr>
              <w:jc w:val="center"/>
            </w:pPr>
            <w:r>
              <w:rPr>
                <w:rFonts w:eastAsia="Arial Unicode MS;Arial"/>
              </w:rPr>
              <w:t>8,70</w:t>
            </w:r>
          </w:p>
        </w:tc>
        <w:tc>
          <w:tcPr>
            <w:tcW w:w="1798" w:type="dxa"/>
            <w:tcBorders>
              <w:top w:val="single" w:color="000000" w:sz="12" w:space="0"/>
              <w:left w:val="single" w:color="000000" w:sz="4" w:space="0"/>
              <w:bottom w:val="single" w:color="000000" w:sz="4" w:space="0"/>
              <w:right w:val="single" w:color="000000" w:sz="4" w:space="0"/>
            </w:tcBorders>
          </w:tcPr>
          <w:p>
            <w:pPr>
              <w:jc w:val="right"/>
            </w:pPr>
            <w:r>
              <w:rPr>
                <w:rFonts w:eastAsia="Arial Unicode MS;Arial"/>
              </w:rPr>
              <w:t>796.970,48</w:t>
            </w:r>
          </w:p>
        </w:tc>
        <w:tc>
          <w:tcPr>
            <w:tcW w:w="1051" w:type="dxa"/>
            <w:tcBorders>
              <w:top w:val="single" w:color="000000" w:sz="12" w:space="0"/>
              <w:left w:val="single" w:color="000000" w:sz="4" w:space="0"/>
              <w:bottom w:val="single" w:color="000000" w:sz="4" w:space="0"/>
              <w:right w:val="double" w:color="000000" w:sz="4" w:space="0"/>
            </w:tcBorders>
          </w:tcPr>
          <w:p>
            <w:pPr>
              <w:jc w:val="center"/>
            </w:pPr>
            <w:r>
              <w:rPr>
                <w:rFonts w:eastAsia="Arial Unicode MS;Arial"/>
              </w:rPr>
              <w:t>8,32</w:t>
            </w:r>
          </w:p>
        </w:tc>
      </w:tr>
      <w:tr>
        <w:tblPrEx>
          <w:tblCellMar>
            <w:top w:w="0" w:type="dxa"/>
            <w:left w:w="108" w:type="dxa"/>
            <w:bottom w:w="0" w:type="dxa"/>
            <w:right w:w="108" w:type="dxa"/>
          </w:tblCellMar>
        </w:tblPrEx>
        <w:trPr>
          <w:trHeight w:val="336" w:hRule="atLeast"/>
        </w:trPr>
        <w:tc>
          <w:tcPr>
            <w:tcW w:w="620" w:type="dxa"/>
            <w:tcBorders>
              <w:top w:val="single" w:color="000000" w:sz="4" w:space="0"/>
              <w:left w:val="double" w:color="000000" w:sz="4" w:space="0"/>
              <w:bottom w:val="double" w:color="000000" w:sz="4" w:space="0"/>
              <w:right w:val="single" w:color="000000" w:sz="4" w:space="0"/>
            </w:tcBorders>
            <w:vAlign w:val="bottom"/>
          </w:tcPr>
          <w:p>
            <w:pPr>
              <w:snapToGrid w:val="0"/>
              <w:jc w:val="center"/>
              <w:rPr>
                <w:rFonts w:eastAsia="Arial Unicode MS;Arial"/>
              </w:rPr>
            </w:pPr>
          </w:p>
        </w:tc>
        <w:tc>
          <w:tcPr>
            <w:tcW w:w="3428" w:type="dxa"/>
            <w:tcBorders>
              <w:top w:val="single" w:color="000000" w:sz="4" w:space="0"/>
              <w:left w:val="single" w:color="000000" w:sz="4" w:space="0"/>
              <w:bottom w:val="double" w:color="000000" w:sz="4" w:space="0"/>
              <w:right w:val="single" w:color="000000" w:sz="4" w:space="0"/>
            </w:tcBorders>
          </w:tcPr>
          <w:p>
            <w:pPr>
              <w:jc w:val="both"/>
              <w:rPr>
                <w:lang w:val="sr-Latn-ME"/>
              </w:rPr>
            </w:pPr>
            <w:r>
              <w:rPr>
                <w:lang w:val="sr-Latn-ME"/>
              </w:rPr>
              <w:t>Poslovna aktiva</w:t>
            </w:r>
          </w:p>
        </w:tc>
        <w:tc>
          <w:tcPr>
            <w:tcW w:w="1835" w:type="dxa"/>
            <w:tcBorders>
              <w:top w:val="single" w:color="000000" w:sz="4" w:space="0"/>
              <w:left w:val="single" w:color="000000" w:sz="4" w:space="0"/>
              <w:bottom w:val="double" w:color="000000" w:sz="4" w:space="0"/>
              <w:right w:val="single" w:color="000000" w:sz="4" w:space="0"/>
            </w:tcBorders>
          </w:tcPr>
          <w:p>
            <w:pPr>
              <w:jc w:val="right"/>
            </w:pPr>
            <w:r>
              <w:rPr>
                <w:rFonts w:eastAsia="Arial Unicode MS;Arial"/>
              </w:rPr>
              <w:t>9.840.602,64</w:t>
            </w:r>
          </w:p>
        </w:tc>
        <w:tc>
          <w:tcPr>
            <w:tcW w:w="869" w:type="dxa"/>
            <w:tcBorders>
              <w:top w:val="single" w:color="000000" w:sz="4" w:space="0"/>
              <w:left w:val="single" w:color="000000" w:sz="4" w:space="0"/>
              <w:bottom w:val="double" w:color="000000" w:sz="4" w:space="0"/>
              <w:right w:val="double" w:color="000000" w:sz="4" w:space="0"/>
            </w:tcBorders>
          </w:tcPr>
          <w:p>
            <w:pPr>
              <w:jc w:val="center"/>
              <w:rPr>
                <w:rFonts w:eastAsia="Arial Unicode MS;Arial"/>
              </w:rPr>
            </w:pPr>
            <w:r>
              <w:rPr>
                <w:rFonts w:eastAsia="Arial Unicode MS;Arial"/>
              </w:rPr>
              <w:t>100</w:t>
            </w:r>
          </w:p>
        </w:tc>
        <w:tc>
          <w:tcPr>
            <w:tcW w:w="1798" w:type="dxa"/>
            <w:tcBorders>
              <w:top w:val="single" w:color="000000" w:sz="4" w:space="0"/>
              <w:left w:val="single" w:color="000000" w:sz="4" w:space="0"/>
              <w:bottom w:val="double" w:color="000000" w:sz="4" w:space="0"/>
              <w:right w:val="single" w:color="000000" w:sz="4" w:space="0"/>
            </w:tcBorders>
          </w:tcPr>
          <w:p>
            <w:pPr>
              <w:jc w:val="right"/>
            </w:pPr>
            <w:r>
              <w:rPr>
                <w:rFonts w:eastAsia="Arial Unicode MS;Arial"/>
              </w:rPr>
              <w:t>9.573.900,15</w:t>
            </w:r>
          </w:p>
        </w:tc>
        <w:tc>
          <w:tcPr>
            <w:tcW w:w="1051" w:type="dxa"/>
            <w:tcBorders>
              <w:top w:val="single" w:color="000000" w:sz="4" w:space="0"/>
              <w:left w:val="single" w:color="000000" w:sz="4" w:space="0"/>
              <w:bottom w:val="double" w:color="000000" w:sz="4" w:space="0"/>
              <w:right w:val="double" w:color="000000" w:sz="4" w:space="0"/>
            </w:tcBorders>
          </w:tcPr>
          <w:p>
            <w:pPr>
              <w:jc w:val="center"/>
              <w:rPr>
                <w:rFonts w:eastAsia="Arial Unicode MS;Arial"/>
              </w:rPr>
            </w:pPr>
            <w:r>
              <w:rPr>
                <w:rFonts w:eastAsia="Arial Unicode MS;Arial"/>
              </w:rPr>
              <w:t>100</w:t>
            </w:r>
          </w:p>
        </w:tc>
      </w:tr>
      <w:tr>
        <w:tblPrEx>
          <w:tblCellMar>
            <w:top w:w="0" w:type="dxa"/>
            <w:left w:w="108" w:type="dxa"/>
            <w:bottom w:w="0" w:type="dxa"/>
            <w:right w:w="108" w:type="dxa"/>
          </w:tblCellMar>
        </w:tblPrEx>
        <w:trPr>
          <w:trHeight w:val="336" w:hRule="atLeast"/>
        </w:trPr>
        <w:tc>
          <w:tcPr>
            <w:tcW w:w="620" w:type="dxa"/>
            <w:tcBorders>
              <w:top w:val="double" w:color="000000" w:sz="4" w:space="0"/>
              <w:left w:val="double" w:color="000000" w:sz="4" w:space="0"/>
              <w:bottom w:val="double" w:color="000000" w:sz="4" w:space="0"/>
              <w:right w:val="double" w:color="000000" w:sz="4" w:space="0"/>
            </w:tcBorders>
            <w:shd w:val="clear" w:color="auto" w:fill="F2DCDC"/>
            <w:vAlign w:val="center"/>
          </w:tcPr>
          <w:p>
            <w:pPr>
              <w:snapToGrid w:val="0"/>
              <w:jc w:val="center"/>
              <w:rPr>
                <w:rFonts w:eastAsia="Arial Unicode MS;Arial"/>
                <w:b/>
              </w:rPr>
            </w:pPr>
          </w:p>
        </w:tc>
        <w:tc>
          <w:tcPr>
            <w:tcW w:w="3428"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rPr>
                <w:rFonts w:eastAsia="Arial Unicode MS;Arial"/>
                <w:b/>
                <w:lang w:val="sr-Latn-ME"/>
              </w:rPr>
            </w:pPr>
            <w:r>
              <w:rPr>
                <w:rFonts w:eastAsia="Arial Unicode MS;Arial"/>
                <w:b/>
                <w:lang w:val="sr-Latn-ME"/>
              </w:rPr>
              <w:t>PASIVA</w:t>
            </w:r>
          </w:p>
        </w:tc>
        <w:tc>
          <w:tcPr>
            <w:tcW w:w="1835"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rPr>
                <w:rFonts w:eastAsia="Arial Unicode MS;Arial"/>
                <w:b/>
              </w:rPr>
            </w:pPr>
            <w:r>
              <w:rPr>
                <w:rFonts w:eastAsia="Arial Unicode MS;Arial"/>
                <w:b/>
              </w:rPr>
              <w:t>2022</w:t>
            </w:r>
          </w:p>
        </w:tc>
        <w:tc>
          <w:tcPr>
            <w:tcW w:w="869"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rPr>
                <w:rFonts w:eastAsia="Arial Unicode MS;Arial"/>
                <w:b/>
              </w:rPr>
            </w:pPr>
            <w:r>
              <w:rPr>
                <w:rFonts w:eastAsia="Arial Unicode MS;Arial"/>
                <w:b/>
              </w:rPr>
              <w:t>%</w:t>
            </w:r>
          </w:p>
        </w:tc>
        <w:tc>
          <w:tcPr>
            <w:tcW w:w="1798"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pPr>
            <w:r>
              <w:rPr>
                <w:rFonts w:eastAsia="Arial Unicode MS;Arial"/>
                <w:b/>
              </w:rPr>
              <w:t>2023</w:t>
            </w:r>
          </w:p>
        </w:tc>
        <w:tc>
          <w:tcPr>
            <w:tcW w:w="1051" w:type="dxa"/>
            <w:tcBorders>
              <w:top w:val="double" w:color="000000" w:sz="4" w:space="0"/>
              <w:left w:val="double" w:color="000000" w:sz="4" w:space="0"/>
              <w:bottom w:val="double" w:color="000000" w:sz="4" w:space="0"/>
              <w:right w:val="double" w:color="000000" w:sz="4" w:space="0"/>
            </w:tcBorders>
            <w:shd w:val="clear" w:color="auto" w:fill="F2DCDC"/>
            <w:vAlign w:val="center"/>
          </w:tcPr>
          <w:p>
            <w:pPr>
              <w:jc w:val="center"/>
              <w:rPr>
                <w:rFonts w:eastAsia="Arial Unicode MS;Arial"/>
                <w:b/>
              </w:rPr>
            </w:pPr>
            <w:r>
              <w:rPr>
                <w:rFonts w:eastAsia="Arial Unicode MS;Arial"/>
                <w:b/>
              </w:rPr>
              <w:t>%</w:t>
            </w:r>
          </w:p>
        </w:tc>
      </w:tr>
      <w:tr>
        <w:tblPrEx>
          <w:tblCellMar>
            <w:top w:w="0" w:type="dxa"/>
            <w:left w:w="108" w:type="dxa"/>
            <w:bottom w:w="0" w:type="dxa"/>
            <w:right w:w="108" w:type="dxa"/>
          </w:tblCellMar>
        </w:tblPrEx>
        <w:trPr>
          <w:trHeight w:val="321" w:hRule="atLeast"/>
        </w:trPr>
        <w:tc>
          <w:tcPr>
            <w:tcW w:w="620" w:type="dxa"/>
            <w:tcBorders>
              <w:top w:val="double" w:color="000000" w:sz="4" w:space="0"/>
              <w:left w:val="double" w:color="000000" w:sz="4" w:space="0"/>
              <w:bottom w:val="single" w:color="000000" w:sz="4" w:space="0"/>
              <w:right w:val="single" w:color="000000" w:sz="4" w:space="0"/>
            </w:tcBorders>
            <w:vAlign w:val="bottom"/>
          </w:tcPr>
          <w:p>
            <w:pPr>
              <w:jc w:val="center"/>
              <w:rPr>
                <w:rFonts w:eastAsia="Arial Unicode MS;Arial"/>
              </w:rPr>
            </w:pPr>
            <w:r>
              <w:rPr>
                <w:rFonts w:eastAsia="Arial Unicode MS;Arial"/>
              </w:rPr>
              <w:t>A</w:t>
            </w:r>
          </w:p>
        </w:tc>
        <w:tc>
          <w:tcPr>
            <w:tcW w:w="3428" w:type="dxa"/>
            <w:tcBorders>
              <w:top w:val="double" w:color="000000" w:sz="4" w:space="0"/>
              <w:left w:val="single" w:color="000000" w:sz="4" w:space="0"/>
              <w:bottom w:val="single" w:color="000000" w:sz="4" w:space="0"/>
              <w:right w:val="single" w:color="000000" w:sz="4" w:space="0"/>
            </w:tcBorders>
          </w:tcPr>
          <w:p>
            <w:pPr>
              <w:jc w:val="both"/>
              <w:rPr>
                <w:rFonts w:eastAsia="Arial Unicode MS;Arial"/>
                <w:lang w:val="sr-Latn-ME"/>
              </w:rPr>
            </w:pPr>
            <w:r>
              <w:rPr>
                <w:rFonts w:eastAsia="Arial Unicode MS;Arial"/>
                <w:lang w:val="sr-Latn-ME"/>
              </w:rPr>
              <w:t>Osnovni kapital</w:t>
            </w:r>
          </w:p>
        </w:tc>
        <w:tc>
          <w:tcPr>
            <w:tcW w:w="1835" w:type="dxa"/>
            <w:tcBorders>
              <w:top w:val="double" w:color="000000" w:sz="4" w:space="0"/>
              <w:left w:val="single" w:color="000000" w:sz="4" w:space="0"/>
              <w:bottom w:val="single" w:color="000000" w:sz="4" w:space="0"/>
              <w:right w:val="single" w:color="000000" w:sz="4" w:space="0"/>
            </w:tcBorders>
          </w:tcPr>
          <w:p>
            <w:pPr>
              <w:jc w:val="right"/>
              <w:rPr>
                <w:rFonts w:eastAsia="Arial Unicode MS;Arial"/>
              </w:rPr>
            </w:pPr>
            <w:r>
              <w:rPr>
                <w:rFonts w:eastAsia="Arial Unicode MS;Arial"/>
              </w:rPr>
              <w:t>232.557,58</w:t>
            </w:r>
          </w:p>
        </w:tc>
        <w:tc>
          <w:tcPr>
            <w:tcW w:w="869" w:type="dxa"/>
            <w:vMerge w:val="restart"/>
            <w:tcBorders>
              <w:top w:val="double" w:color="000000" w:sz="4" w:space="0"/>
              <w:left w:val="single" w:color="000000" w:sz="4" w:space="0"/>
              <w:bottom w:val="single" w:color="000000" w:sz="4" w:space="0"/>
              <w:right w:val="double" w:color="000000" w:sz="4" w:space="0"/>
            </w:tcBorders>
            <w:vAlign w:val="center"/>
          </w:tcPr>
          <w:p>
            <w:pPr>
              <w:jc w:val="center"/>
            </w:pPr>
            <w:r>
              <w:rPr>
                <w:rFonts w:eastAsia="Arial Unicode MS;Arial"/>
              </w:rPr>
              <w:t>-2,81</w:t>
            </w:r>
          </w:p>
        </w:tc>
        <w:tc>
          <w:tcPr>
            <w:tcW w:w="1798" w:type="dxa"/>
            <w:tcBorders>
              <w:top w:val="double" w:color="000000" w:sz="4" w:space="0"/>
              <w:left w:val="single" w:color="000000" w:sz="4" w:space="0"/>
              <w:bottom w:val="single" w:color="000000" w:sz="4" w:space="0"/>
              <w:right w:val="single" w:color="000000" w:sz="4" w:space="0"/>
            </w:tcBorders>
          </w:tcPr>
          <w:p>
            <w:pPr>
              <w:jc w:val="right"/>
              <w:rPr>
                <w:rFonts w:eastAsia="Arial Unicode MS;Arial"/>
              </w:rPr>
            </w:pPr>
            <w:r>
              <w:rPr>
                <w:rFonts w:eastAsia="Arial Unicode MS;Arial"/>
              </w:rPr>
              <w:t>232.557,58</w:t>
            </w:r>
          </w:p>
        </w:tc>
        <w:tc>
          <w:tcPr>
            <w:tcW w:w="1051" w:type="dxa"/>
            <w:vMerge w:val="restart"/>
            <w:tcBorders>
              <w:top w:val="double" w:color="000000" w:sz="4" w:space="0"/>
              <w:left w:val="single" w:color="000000" w:sz="4" w:space="0"/>
              <w:bottom w:val="single" w:color="000000" w:sz="4" w:space="0"/>
              <w:right w:val="double" w:color="000000" w:sz="4" w:space="0"/>
            </w:tcBorders>
            <w:vAlign w:val="center"/>
          </w:tcPr>
          <w:p>
            <w:pPr>
              <w:jc w:val="center"/>
            </w:pPr>
            <w:r>
              <w:rPr>
                <w:rFonts w:eastAsia="Arial Unicode MS;Arial"/>
              </w:rPr>
              <w:t>-3,18</w:t>
            </w:r>
          </w:p>
        </w:tc>
      </w:tr>
      <w:tr>
        <w:tblPrEx>
          <w:tblCellMar>
            <w:top w:w="0" w:type="dxa"/>
            <w:left w:w="108" w:type="dxa"/>
            <w:bottom w:w="0" w:type="dxa"/>
            <w:right w:w="108" w:type="dxa"/>
          </w:tblCellMar>
        </w:tblPrEx>
        <w:trPr>
          <w:trHeight w:val="420" w:hRule="atLeast"/>
        </w:trPr>
        <w:tc>
          <w:tcPr>
            <w:tcW w:w="620" w:type="dxa"/>
            <w:tcBorders>
              <w:top w:val="single" w:color="000000" w:sz="4" w:space="0"/>
              <w:left w:val="double" w:color="000000" w:sz="4" w:space="0"/>
              <w:bottom w:val="single" w:color="000000" w:sz="4" w:space="0"/>
              <w:right w:val="single" w:color="000000" w:sz="4" w:space="0"/>
            </w:tcBorders>
            <w:vAlign w:val="bottom"/>
          </w:tcPr>
          <w:p>
            <w:pPr>
              <w:snapToGrid w:val="0"/>
              <w:jc w:val="center"/>
              <w:rPr>
                <w:rFonts w:eastAsia="Arial Unicode MS;Arial"/>
              </w:rPr>
            </w:pPr>
          </w:p>
        </w:tc>
        <w:tc>
          <w:tcPr>
            <w:tcW w:w="3428" w:type="dxa"/>
            <w:tcBorders>
              <w:top w:val="single" w:color="000000" w:sz="4" w:space="0"/>
              <w:left w:val="single" w:color="000000" w:sz="4" w:space="0"/>
              <w:bottom w:val="single" w:color="000000" w:sz="4" w:space="0"/>
              <w:right w:val="single" w:color="000000" w:sz="4" w:space="0"/>
            </w:tcBorders>
          </w:tcPr>
          <w:p>
            <w:pPr>
              <w:jc w:val="both"/>
              <w:rPr>
                <w:rFonts w:eastAsia="Arial Unicode MS;Arial"/>
                <w:lang w:val="sr-Latn-ME"/>
              </w:rPr>
            </w:pPr>
            <w:r>
              <w:rPr>
                <w:rFonts w:eastAsia="Arial Unicode MS;Arial"/>
                <w:lang w:val="sr-Latn-ME"/>
              </w:rPr>
              <w:t>Neraspoređeni dobitak ranijijh godina</w:t>
            </w:r>
          </w:p>
        </w:tc>
        <w:tc>
          <w:tcPr>
            <w:tcW w:w="1835" w:type="dxa"/>
            <w:tcBorders>
              <w:top w:val="single" w:color="000000" w:sz="4" w:space="0"/>
              <w:left w:val="single" w:color="000000" w:sz="4" w:space="0"/>
              <w:bottom w:val="single" w:color="000000" w:sz="4" w:space="0"/>
              <w:right w:val="single" w:color="000000" w:sz="4" w:space="0"/>
            </w:tcBorders>
          </w:tcPr>
          <w:p>
            <w:pPr>
              <w:jc w:val="right"/>
              <w:rPr>
                <w:rFonts w:eastAsia="Arial Unicode MS;Arial"/>
              </w:rPr>
            </w:pPr>
            <w:r>
              <w:rPr>
                <w:rFonts w:eastAsia="Arial Unicode MS;Arial"/>
              </w:rPr>
              <w:t>29.789,09</w:t>
            </w:r>
          </w:p>
        </w:tc>
        <w:tc>
          <w:tcPr>
            <w:tcW w:w="869" w:type="dxa"/>
            <w:vMerge w:val="continue"/>
            <w:tcBorders>
              <w:top w:val="double" w:color="000000" w:sz="4" w:space="0"/>
              <w:left w:val="single" w:color="000000" w:sz="4" w:space="0"/>
              <w:bottom w:val="single" w:color="000000" w:sz="4" w:space="0"/>
              <w:right w:val="double" w:color="000000" w:sz="4" w:space="0"/>
            </w:tcBorders>
            <w:vAlign w:val="center"/>
          </w:tcPr>
          <w:p>
            <w:pPr>
              <w:snapToGrid w:val="0"/>
              <w:jc w:val="center"/>
              <w:rPr>
                <w:rFonts w:eastAsia="Arial Unicode MS;Arial"/>
              </w:rPr>
            </w:pPr>
          </w:p>
        </w:tc>
        <w:tc>
          <w:tcPr>
            <w:tcW w:w="1798" w:type="dxa"/>
            <w:tcBorders>
              <w:top w:val="single" w:color="000000" w:sz="4" w:space="0"/>
              <w:left w:val="single" w:color="000000" w:sz="4" w:space="0"/>
              <w:bottom w:val="single" w:color="000000" w:sz="4" w:space="0"/>
              <w:right w:val="single" w:color="000000" w:sz="4" w:space="0"/>
            </w:tcBorders>
          </w:tcPr>
          <w:p>
            <w:pPr>
              <w:jc w:val="right"/>
            </w:pPr>
            <w:r>
              <w:rPr>
                <w:rFonts w:eastAsia="Arial Unicode MS;Arial"/>
              </w:rPr>
              <w:t>29.789,09</w:t>
            </w:r>
          </w:p>
        </w:tc>
        <w:tc>
          <w:tcPr>
            <w:tcW w:w="1051" w:type="dxa"/>
            <w:vMerge w:val="continue"/>
            <w:tcBorders>
              <w:top w:val="double" w:color="000000" w:sz="4" w:space="0"/>
              <w:left w:val="single" w:color="000000" w:sz="4" w:space="0"/>
              <w:bottom w:val="single" w:color="000000" w:sz="4" w:space="0"/>
              <w:right w:val="double" w:color="000000" w:sz="4" w:space="0"/>
            </w:tcBorders>
            <w:vAlign w:val="center"/>
          </w:tcPr>
          <w:p>
            <w:pPr>
              <w:snapToGrid w:val="0"/>
              <w:jc w:val="center"/>
              <w:rPr>
                <w:rFonts w:eastAsia="Arial Unicode MS;Arial"/>
              </w:rPr>
            </w:pPr>
          </w:p>
        </w:tc>
      </w:tr>
      <w:tr>
        <w:tblPrEx>
          <w:tblCellMar>
            <w:top w:w="0" w:type="dxa"/>
            <w:left w:w="108" w:type="dxa"/>
            <w:bottom w:w="0" w:type="dxa"/>
            <w:right w:w="108" w:type="dxa"/>
          </w:tblCellMar>
        </w:tblPrEx>
        <w:trPr>
          <w:trHeight w:val="336" w:hRule="atLeast"/>
        </w:trPr>
        <w:tc>
          <w:tcPr>
            <w:tcW w:w="620" w:type="dxa"/>
            <w:tcBorders>
              <w:top w:val="single" w:color="000000" w:sz="4" w:space="0"/>
              <w:left w:val="double" w:color="000000" w:sz="4" w:space="0"/>
              <w:bottom w:val="single" w:color="000000" w:sz="4" w:space="0"/>
              <w:right w:val="single" w:color="000000" w:sz="4" w:space="0"/>
            </w:tcBorders>
            <w:vAlign w:val="bottom"/>
          </w:tcPr>
          <w:p>
            <w:pPr>
              <w:snapToGrid w:val="0"/>
              <w:jc w:val="center"/>
              <w:rPr>
                <w:rFonts w:eastAsia="Arial Unicode MS;Arial"/>
              </w:rPr>
            </w:pPr>
          </w:p>
        </w:tc>
        <w:tc>
          <w:tcPr>
            <w:tcW w:w="3428" w:type="dxa"/>
            <w:tcBorders>
              <w:top w:val="single" w:color="000000" w:sz="4" w:space="0"/>
              <w:left w:val="single" w:color="000000" w:sz="4" w:space="0"/>
              <w:bottom w:val="single" w:color="000000" w:sz="4" w:space="0"/>
              <w:right w:val="single" w:color="000000" w:sz="4" w:space="0"/>
            </w:tcBorders>
          </w:tcPr>
          <w:p>
            <w:pPr>
              <w:jc w:val="both"/>
              <w:rPr>
                <w:rFonts w:eastAsia="Arial Unicode MS;Arial"/>
                <w:lang w:val="sr-Latn-ME"/>
              </w:rPr>
            </w:pPr>
            <w:r>
              <w:rPr>
                <w:rFonts w:eastAsia="Arial Unicode MS;Arial"/>
                <w:lang w:val="sr-Latn-ME"/>
              </w:rPr>
              <w:t>Gubitak</w:t>
            </w:r>
          </w:p>
        </w:tc>
        <w:tc>
          <w:tcPr>
            <w:tcW w:w="1835" w:type="dxa"/>
            <w:tcBorders>
              <w:top w:val="single" w:color="000000" w:sz="4" w:space="0"/>
              <w:left w:val="single" w:color="000000" w:sz="4" w:space="0"/>
              <w:bottom w:val="single" w:color="000000" w:sz="4" w:space="0"/>
              <w:right w:val="single" w:color="000000" w:sz="4" w:space="0"/>
            </w:tcBorders>
          </w:tcPr>
          <w:p>
            <w:pPr>
              <w:jc w:val="right"/>
            </w:pPr>
            <w:r>
              <w:rPr>
                <w:rFonts w:eastAsia="Arial Unicode MS;Arial"/>
              </w:rPr>
              <w:t>-539.314,32</w:t>
            </w:r>
          </w:p>
        </w:tc>
        <w:tc>
          <w:tcPr>
            <w:tcW w:w="869" w:type="dxa"/>
            <w:tcBorders>
              <w:top w:val="single" w:color="000000" w:sz="4" w:space="0"/>
              <w:left w:val="single" w:color="000000" w:sz="4" w:space="0"/>
              <w:bottom w:val="single" w:color="000000" w:sz="4" w:space="0"/>
              <w:right w:val="double" w:color="000000" w:sz="4" w:space="0"/>
            </w:tcBorders>
          </w:tcPr>
          <w:p>
            <w:pPr>
              <w:snapToGrid w:val="0"/>
              <w:jc w:val="center"/>
              <w:rPr>
                <w:rFonts w:eastAsia="Arial Unicode MS;Arial"/>
              </w:rPr>
            </w:pPr>
          </w:p>
        </w:tc>
        <w:tc>
          <w:tcPr>
            <w:tcW w:w="1798" w:type="dxa"/>
            <w:tcBorders>
              <w:top w:val="single" w:color="000000" w:sz="4" w:space="0"/>
              <w:left w:val="single" w:color="000000" w:sz="4" w:space="0"/>
              <w:bottom w:val="single" w:color="000000" w:sz="4" w:space="0"/>
              <w:right w:val="single" w:color="000000" w:sz="4" w:space="0"/>
            </w:tcBorders>
          </w:tcPr>
          <w:p>
            <w:pPr>
              <w:jc w:val="right"/>
            </w:pPr>
            <w:r>
              <w:rPr>
                <w:rFonts w:eastAsia="Arial Unicode MS;Arial"/>
              </w:rPr>
              <w:t>-566.589,12</w:t>
            </w:r>
          </w:p>
        </w:tc>
        <w:tc>
          <w:tcPr>
            <w:tcW w:w="1051" w:type="dxa"/>
            <w:tcBorders>
              <w:top w:val="single" w:color="000000" w:sz="4" w:space="0"/>
              <w:left w:val="single" w:color="000000" w:sz="4" w:space="0"/>
              <w:bottom w:val="single" w:color="000000" w:sz="4" w:space="0"/>
              <w:right w:val="double" w:color="000000" w:sz="4" w:space="0"/>
            </w:tcBorders>
          </w:tcPr>
          <w:p>
            <w:pPr>
              <w:snapToGrid w:val="0"/>
              <w:jc w:val="center"/>
              <w:rPr>
                <w:rFonts w:eastAsia="Arial Unicode MS;Arial"/>
              </w:rPr>
            </w:pPr>
          </w:p>
        </w:tc>
      </w:tr>
      <w:tr>
        <w:tblPrEx>
          <w:tblCellMar>
            <w:top w:w="0" w:type="dxa"/>
            <w:left w:w="108" w:type="dxa"/>
            <w:bottom w:w="0" w:type="dxa"/>
            <w:right w:w="108" w:type="dxa"/>
          </w:tblCellMar>
        </w:tblPrEx>
        <w:trPr>
          <w:trHeight w:val="336" w:hRule="atLeast"/>
        </w:trPr>
        <w:tc>
          <w:tcPr>
            <w:tcW w:w="620" w:type="dxa"/>
            <w:tcBorders>
              <w:top w:val="single" w:color="000000" w:sz="4" w:space="0"/>
              <w:left w:val="double" w:color="000000" w:sz="4" w:space="0"/>
              <w:bottom w:val="single" w:color="000000" w:sz="4" w:space="0"/>
              <w:right w:val="single" w:color="000000" w:sz="4" w:space="0"/>
            </w:tcBorders>
            <w:vAlign w:val="bottom"/>
          </w:tcPr>
          <w:p>
            <w:pPr>
              <w:jc w:val="center"/>
              <w:rPr>
                <w:rFonts w:eastAsia="Arial Unicode MS;Arial"/>
                <w:lang w:val="sr-Latn-ME"/>
              </w:rPr>
            </w:pPr>
            <w:r>
              <w:rPr>
                <w:rFonts w:eastAsia="Arial Unicode MS;Arial"/>
                <w:lang w:val="sr-Latn-ME"/>
              </w:rPr>
              <w:t>B</w:t>
            </w:r>
          </w:p>
        </w:tc>
        <w:tc>
          <w:tcPr>
            <w:tcW w:w="3428" w:type="dxa"/>
            <w:tcBorders>
              <w:top w:val="single" w:color="000000" w:sz="4" w:space="0"/>
              <w:left w:val="single" w:color="000000" w:sz="4" w:space="0"/>
              <w:bottom w:val="single" w:color="000000" w:sz="4" w:space="0"/>
              <w:right w:val="single" w:color="000000" w:sz="4" w:space="0"/>
            </w:tcBorders>
          </w:tcPr>
          <w:p>
            <w:pPr>
              <w:jc w:val="both"/>
              <w:rPr>
                <w:rFonts w:eastAsia="Arial Unicode MS;Arial"/>
                <w:lang w:val="sr-Latn-ME"/>
              </w:rPr>
            </w:pPr>
            <w:r>
              <w:rPr>
                <w:rFonts w:eastAsia="Arial Unicode MS;Arial"/>
                <w:lang w:val="sr-Latn-ME"/>
              </w:rPr>
              <w:t>Kratkoročne obaveze</w:t>
            </w:r>
          </w:p>
        </w:tc>
        <w:tc>
          <w:tcPr>
            <w:tcW w:w="1835" w:type="dxa"/>
            <w:tcBorders>
              <w:top w:val="single" w:color="000000" w:sz="4" w:space="0"/>
              <w:left w:val="single" w:color="000000" w:sz="4" w:space="0"/>
              <w:bottom w:val="single" w:color="000000" w:sz="4" w:space="0"/>
              <w:right w:val="single" w:color="000000" w:sz="4" w:space="0"/>
            </w:tcBorders>
          </w:tcPr>
          <w:p>
            <w:pPr>
              <w:jc w:val="right"/>
            </w:pPr>
            <w:r>
              <w:rPr>
                <w:rFonts w:eastAsia="Arial Unicode MS;Arial"/>
              </w:rPr>
              <w:t>828.004,11</w:t>
            </w:r>
          </w:p>
        </w:tc>
        <w:tc>
          <w:tcPr>
            <w:tcW w:w="869" w:type="dxa"/>
            <w:tcBorders>
              <w:top w:val="single" w:color="000000" w:sz="4" w:space="0"/>
              <w:left w:val="single" w:color="000000" w:sz="4" w:space="0"/>
              <w:bottom w:val="single" w:color="000000" w:sz="4" w:space="0"/>
              <w:right w:val="double" w:color="000000" w:sz="4" w:space="0"/>
            </w:tcBorders>
          </w:tcPr>
          <w:p>
            <w:pPr>
              <w:jc w:val="center"/>
            </w:pPr>
            <w:r>
              <w:rPr>
                <w:rFonts w:eastAsia="Arial Unicode MS;Arial"/>
              </w:rPr>
              <w:t>8,41</w:t>
            </w:r>
          </w:p>
        </w:tc>
        <w:tc>
          <w:tcPr>
            <w:tcW w:w="1798" w:type="dxa"/>
            <w:tcBorders>
              <w:top w:val="single" w:color="000000" w:sz="4" w:space="0"/>
              <w:left w:val="single" w:color="000000" w:sz="4" w:space="0"/>
              <w:bottom w:val="single" w:color="000000" w:sz="4" w:space="0"/>
              <w:right w:val="single" w:color="000000" w:sz="4" w:space="0"/>
            </w:tcBorders>
          </w:tcPr>
          <w:p>
            <w:pPr>
              <w:jc w:val="right"/>
            </w:pPr>
            <w:r>
              <w:rPr>
                <w:rFonts w:eastAsia="Arial Unicode MS;Arial"/>
              </w:rPr>
              <w:t>798.973,20</w:t>
            </w:r>
          </w:p>
        </w:tc>
        <w:tc>
          <w:tcPr>
            <w:tcW w:w="1051" w:type="dxa"/>
            <w:tcBorders>
              <w:top w:val="single" w:color="000000" w:sz="4" w:space="0"/>
              <w:left w:val="single" w:color="000000" w:sz="4" w:space="0"/>
              <w:bottom w:val="single" w:color="000000" w:sz="4" w:space="0"/>
              <w:right w:val="double" w:color="000000" w:sz="4" w:space="0"/>
            </w:tcBorders>
          </w:tcPr>
          <w:p>
            <w:pPr>
              <w:jc w:val="center"/>
            </w:pPr>
            <w:r>
              <w:rPr>
                <w:rFonts w:eastAsia="Arial Unicode MS;Arial"/>
              </w:rPr>
              <w:t>8,35</w:t>
            </w:r>
          </w:p>
        </w:tc>
      </w:tr>
      <w:tr>
        <w:tblPrEx>
          <w:tblCellMar>
            <w:top w:w="0" w:type="dxa"/>
            <w:left w:w="108" w:type="dxa"/>
            <w:bottom w:w="0" w:type="dxa"/>
            <w:right w:w="108" w:type="dxa"/>
          </w:tblCellMar>
        </w:tblPrEx>
        <w:trPr>
          <w:trHeight w:val="685" w:hRule="atLeast"/>
        </w:trPr>
        <w:tc>
          <w:tcPr>
            <w:tcW w:w="620" w:type="dxa"/>
            <w:tcBorders>
              <w:top w:val="single" w:color="000000" w:sz="4" w:space="0"/>
              <w:left w:val="double" w:color="000000" w:sz="4" w:space="0"/>
              <w:bottom w:val="single" w:color="000000" w:sz="4" w:space="0"/>
              <w:right w:val="single" w:color="000000" w:sz="4" w:space="0"/>
            </w:tcBorders>
            <w:vAlign w:val="bottom"/>
          </w:tcPr>
          <w:p>
            <w:pPr>
              <w:jc w:val="center"/>
              <w:rPr>
                <w:rFonts w:eastAsia="Arial Unicode MS;Arial"/>
                <w:lang w:val="sr-Latn-ME"/>
              </w:rPr>
            </w:pPr>
            <w:r>
              <w:rPr>
                <w:rFonts w:eastAsia="Arial Unicode MS;Arial"/>
                <w:lang w:val="sr-Latn-ME"/>
              </w:rPr>
              <w:t>C</w:t>
            </w:r>
          </w:p>
        </w:tc>
        <w:tc>
          <w:tcPr>
            <w:tcW w:w="3428" w:type="dxa"/>
            <w:tcBorders>
              <w:top w:val="single" w:color="000000" w:sz="4" w:space="0"/>
              <w:left w:val="single" w:color="000000" w:sz="4" w:space="0"/>
              <w:bottom w:val="single" w:color="000000" w:sz="4" w:space="0"/>
              <w:right w:val="single" w:color="000000" w:sz="4" w:space="0"/>
            </w:tcBorders>
          </w:tcPr>
          <w:p>
            <w:pPr>
              <w:jc w:val="both"/>
              <w:rPr>
                <w:rFonts w:eastAsia="Arial Unicode MS;Arial"/>
                <w:lang w:val="sr-Latn-ME"/>
              </w:rPr>
            </w:pPr>
            <w:r>
              <w:rPr>
                <w:rFonts w:eastAsia="Arial Unicode MS;Arial"/>
                <w:lang w:val="sr-Latn-ME"/>
              </w:rPr>
              <w:t>Pasivna vremenska razgraničenja</w:t>
            </w:r>
          </w:p>
        </w:tc>
        <w:tc>
          <w:tcPr>
            <w:tcW w:w="1835" w:type="dxa"/>
            <w:tcBorders>
              <w:top w:val="single" w:color="000000" w:sz="4" w:space="0"/>
              <w:left w:val="single" w:color="000000" w:sz="4" w:space="0"/>
              <w:bottom w:val="single" w:color="000000" w:sz="4" w:space="0"/>
              <w:right w:val="single" w:color="000000" w:sz="4" w:space="0"/>
            </w:tcBorders>
            <w:vAlign w:val="center"/>
          </w:tcPr>
          <w:p>
            <w:pPr>
              <w:jc w:val="right"/>
            </w:pPr>
            <w:r>
              <w:rPr>
                <w:rFonts w:eastAsia="Arial Unicode MS;Arial"/>
              </w:rPr>
              <w:t>9.289.566,18</w:t>
            </w:r>
          </w:p>
        </w:tc>
        <w:tc>
          <w:tcPr>
            <w:tcW w:w="869" w:type="dxa"/>
            <w:tcBorders>
              <w:top w:val="single" w:color="000000" w:sz="4" w:space="0"/>
              <w:left w:val="single" w:color="000000" w:sz="4" w:space="0"/>
              <w:bottom w:val="single" w:color="000000" w:sz="4" w:space="0"/>
              <w:right w:val="double" w:color="000000" w:sz="4" w:space="0"/>
            </w:tcBorders>
            <w:vAlign w:val="center"/>
          </w:tcPr>
          <w:p>
            <w:pPr>
              <w:jc w:val="center"/>
            </w:pPr>
            <w:r>
              <w:rPr>
                <w:rFonts w:eastAsia="Arial Unicode MS;Arial"/>
              </w:rPr>
              <w:t>94,40</w:t>
            </w:r>
          </w:p>
        </w:tc>
        <w:tc>
          <w:tcPr>
            <w:tcW w:w="1798" w:type="dxa"/>
            <w:tcBorders>
              <w:top w:val="single" w:color="000000" w:sz="4" w:space="0"/>
              <w:left w:val="single" w:color="000000" w:sz="4" w:space="0"/>
              <w:bottom w:val="single" w:color="000000" w:sz="4" w:space="0"/>
              <w:right w:val="single" w:color="000000" w:sz="4" w:space="0"/>
            </w:tcBorders>
            <w:vAlign w:val="center"/>
          </w:tcPr>
          <w:p>
            <w:pPr>
              <w:jc w:val="right"/>
            </w:pPr>
            <w:r>
              <w:rPr>
                <w:rFonts w:eastAsia="Arial Unicode MS;Arial"/>
              </w:rPr>
              <w:t>9.079.169,40</w:t>
            </w:r>
          </w:p>
        </w:tc>
        <w:tc>
          <w:tcPr>
            <w:tcW w:w="1051" w:type="dxa"/>
            <w:tcBorders>
              <w:top w:val="single" w:color="000000" w:sz="4" w:space="0"/>
              <w:left w:val="single" w:color="000000" w:sz="4" w:space="0"/>
              <w:bottom w:val="single" w:color="000000" w:sz="4" w:space="0"/>
              <w:right w:val="double" w:color="000000" w:sz="4" w:space="0"/>
            </w:tcBorders>
            <w:vAlign w:val="center"/>
          </w:tcPr>
          <w:p>
            <w:pPr>
              <w:jc w:val="center"/>
            </w:pPr>
            <w:r>
              <w:rPr>
                <w:rFonts w:eastAsia="Arial Unicode MS;Arial"/>
              </w:rPr>
              <w:t>94,83</w:t>
            </w:r>
          </w:p>
        </w:tc>
      </w:tr>
      <w:tr>
        <w:tblPrEx>
          <w:tblCellMar>
            <w:top w:w="0" w:type="dxa"/>
            <w:left w:w="108" w:type="dxa"/>
            <w:bottom w:w="0" w:type="dxa"/>
            <w:right w:w="108" w:type="dxa"/>
          </w:tblCellMar>
        </w:tblPrEx>
        <w:trPr>
          <w:trHeight w:val="352" w:hRule="atLeast"/>
        </w:trPr>
        <w:tc>
          <w:tcPr>
            <w:tcW w:w="620" w:type="dxa"/>
            <w:tcBorders>
              <w:top w:val="single" w:color="000000" w:sz="4" w:space="0"/>
              <w:left w:val="double" w:color="000000" w:sz="4" w:space="0"/>
              <w:bottom w:val="double" w:color="000000" w:sz="4" w:space="0"/>
              <w:right w:val="single" w:color="000000" w:sz="4" w:space="0"/>
            </w:tcBorders>
            <w:vAlign w:val="bottom"/>
          </w:tcPr>
          <w:p>
            <w:pPr>
              <w:snapToGrid w:val="0"/>
              <w:jc w:val="center"/>
              <w:rPr>
                <w:rFonts w:eastAsia="Arial Unicode MS;Arial"/>
              </w:rPr>
            </w:pPr>
          </w:p>
        </w:tc>
        <w:tc>
          <w:tcPr>
            <w:tcW w:w="3428" w:type="dxa"/>
            <w:tcBorders>
              <w:top w:val="single" w:color="000000" w:sz="4" w:space="0"/>
              <w:left w:val="single" w:color="000000" w:sz="4" w:space="0"/>
              <w:bottom w:val="double" w:color="000000" w:sz="4" w:space="0"/>
              <w:right w:val="single" w:color="000000" w:sz="4" w:space="0"/>
            </w:tcBorders>
          </w:tcPr>
          <w:p>
            <w:pPr>
              <w:jc w:val="both"/>
              <w:rPr>
                <w:rFonts w:eastAsia="Arial Unicode MS;Arial"/>
                <w:lang w:val="sr-Latn-ME"/>
              </w:rPr>
            </w:pPr>
            <w:r>
              <w:rPr>
                <w:rFonts w:eastAsia="Arial Unicode MS;Arial"/>
                <w:lang w:val="sr-Latn-ME"/>
              </w:rPr>
              <w:t>Poslovna pasiva</w:t>
            </w:r>
          </w:p>
        </w:tc>
        <w:tc>
          <w:tcPr>
            <w:tcW w:w="1835" w:type="dxa"/>
            <w:tcBorders>
              <w:top w:val="single" w:color="000000" w:sz="4" w:space="0"/>
              <w:left w:val="single" w:color="000000" w:sz="4" w:space="0"/>
              <w:bottom w:val="double" w:color="000000" w:sz="4" w:space="0"/>
              <w:right w:val="single" w:color="000000" w:sz="4" w:space="0"/>
            </w:tcBorders>
          </w:tcPr>
          <w:p>
            <w:pPr>
              <w:jc w:val="right"/>
            </w:pPr>
            <w:r>
              <w:rPr>
                <w:rFonts w:eastAsia="Arial Unicode MS;Arial"/>
              </w:rPr>
              <w:t>9.840.602,64</w:t>
            </w:r>
          </w:p>
        </w:tc>
        <w:tc>
          <w:tcPr>
            <w:tcW w:w="869" w:type="dxa"/>
            <w:tcBorders>
              <w:top w:val="single" w:color="000000" w:sz="4" w:space="0"/>
              <w:left w:val="single" w:color="000000" w:sz="4" w:space="0"/>
              <w:bottom w:val="double" w:color="000000" w:sz="4" w:space="0"/>
              <w:right w:val="double" w:color="000000" w:sz="4" w:space="0"/>
            </w:tcBorders>
          </w:tcPr>
          <w:p>
            <w:pPr>
              <w:jc w:val="center"/>
              <w:rPr>
                <w:rFonts w:eastAsia="Arial Unicode MS;Arial"/>
              </w:rPr>
            </w:pPr>
            <w:r>
              <w:rPr>
                <w:rFonts w:eastAsia="Arial Unicode MS;Arial"/>
              </w:rPr>
              <w:t>100</w:t>
            </w:r>
          </w:p>
        </w:tc>
        <w:tc>
          <w:tcPr>
            <w:tcW w:w="1798" w:type="dxa"/>
            <w:tcBorders>
              <w:top w:val="single" w:color="000000" w:sz="4" w:space="0"/>
              <w:left w:val="single" w:color="000000" w:sz="4" w:space="0"/>
              <w:bottom w:val="double" w:color="000000" w:sz="4" w:space="0"/>
              <w:right w:val="single" w:color="000000" w:sz="4" w:space="0"/>
            </w:tcBorders>
          </w:tcPr>
          <w:p>
            <w:pPr>
              <w:jc w:val="right"/>
            </w:pPr>
            <w:r>
              <w:rPr>
                <w:rFonts w:eastAsia="Arial Unicode MS;Arial"/>
              </w:rPr>
              <w:t>9.573.900,15</w:t>
            </w:r>
          </w:p>
        </w:tc>
        <w:tc>
          <w:tcPr>
            <w:tcW w:w="1051" w:type="dxa"/>
            <w:tcBorders>
              <w:top w:val="single" w:color="000000" w:sz="4" w:space="0"/>
              <w:left w:val="single" w:color="000000" w:sz="4" w:space="0"/>
              <w:bottom w:val="double" w:color="000000" w:sz="4" w:space="0"/>
              <w:right w:val="double" w:color="000000" w:sz="4" w:space="0"/>
            </w:tcBorders>
          </w:tcPr>
          <w:p>
            <w:pPr>
              <w:jc w:val="center"/>
              <w:rPr>
                <w:rFonts w:eastAsia="Arial Unicode MS;Arial"/>
              </w:rPr>
            </w:pPr>
            <w:r>
              <w:rPr>
                <w:rFonts w:eastAsia="Arial Unicode MS;Arial"/>
              </w:rPr>
              <w:t>100</w:t>
            </w:r>
          </w:p>
        </w:tc>
      </w:tr>
    </w:tbl>
    <w:p>
      <w:pPr>
        <w:jc w:val="both"/>
        <w:rPr>
          <w:sz w:val="26"/>
          <w:szCs w:val="26"/>
        </w:rPr>
      </w:pPr>
    </w:p>
    <w:p>
      <w:pPr>
        <w:ind w:firstLine="390"/>
        <w:jc w:val="both"/>
        <w:rPr>
          <w:sz w:val="24"/>
          <w:szCs w:val="24"/>
          <w:lang w:val="sr-Latn-ME"/>
        </w:rPr>
      </w:pPr>
      <w:r>
        <w:rPr>
          <w:sz w:val="24"/>
          <w:szCs w:val="24"/>
          <w:lang w:val="sr-Latn-ME"/>
        </w:rPr>
        <w:t xml:space="preserve">Na dan 31.12.2023. godine 91,68 % imovine čini stalna imovina (građevinski objekti, investicije u toku, oprema, ulaganja na tuđim nekretninama i nematerijalna ulaganja). </w:t>
      </w:r>
    </w:p>
    <w:p>
      <w:pPr>
        <w:ind w:firstLine="390"/>
        <w:jc w:val="both"/>
        <w:rPr>
          <w:sz w:val="24"/>
          <w:szCs w:val="24"/>
          <w:lang w:val="sr-Latn-ME"/>
        </w:rPr>
      </w:pPr>
      <w:r>
        <w:rPr>
          <w:sz w:val="24"/>
          <w:szCs w:val="24"/>
          <w:lang w:val="sr-Latn-ME"/>
        </w:rPr>
        <w:t>Obrtna imovina i aktivna vremenska razgraničenja na 31.12.2023. godine su manja u odnosu na prethodnu godinu za 58.676,42 €, a sastojala su se iz:</w:t>
      </w:r>
    </w:p>
    <w:p>
      <w:pPr>
        <w:numPr>
          <w:ilvl w:val="0"/>
          <w:numId w:val="4"/>
        </w:numPr>
        <w:tabs>
          <w:tab w:val="left" w:pos="420"/>
        </w:tabs>
        <w:jc w:val="both"/>
        <w:rPr>
          <w:sz w:val="24"/>
          <w:szCs w:val="24"/>
          <w:lang w:val="sr-Latn-ME"/>
        </w:rPr>
      </w:pPr>
      <w:r>
        <w:rPr>
          <w:sz w:val="24"/>
          <w:szCs w:val="24"/>
          <w:lang w:val="sr-Latn-ME"/>
        </w:rPr>
        <w:t>zaliha robe i materijala 5.076,26 € ( veće su u odnosu na 31.12. prethodne godine za 491,40 €);</w:t>
      </w:r>
    </w:p>
    <w:p>
      <w:pPr>
        <w:numPr>
          <w:ilvl w:val="0"/>
          <w:numId w:val="4"/>
        </w:numPr>
        <w:tabs>
          <w:tab w:val="left" w:pos="420"/>
        </w:tabs>
        <w:jc w:val="both"/>
        <w:rPr>
          <w:sz w:val="24"/>
          <w:szCs w:val="24"/>
          <w:lang w:val="sr-Latn-ME"/>
        </w:rPr>
      </w:pPr>
      <w:r>
        <w:rPr>
          <w:sz w:val="24"/>
          <w:szCs w:val="24"/>
          <w:lang w:val="sr-Latn-ME"/>
        </w:rPr>
        <w:t>kratkoročnih potraživanja 791.894,58 € ( manja su u odnosu na 31.12. prethodne godine za 59.167,46 €), a koje čine:</w:t>
      </w:r>
    </w:p>
    <w:p>
      <w:pPr>
        <w:numPr>
          <w:ilvl w:val="0"/>
          <w:numId w:val="5"/>
        </w:numPr>
        <w:tabs>
          <w:tab w:val="left" w:pos="420"/>
        </w:tabs>
        <w:jc w:val="both"/>
        <w:rPr>
          <w:sz w:val="24"/>
          <w:szCs w:val="24"/>
          <w:lang w:val="sr-Latn-ME"/>
        </w:rPr>
      </w:pPr>
      <w:r>
        <w:rPr>
          <w:sz w:val="24"/>
          <w:szCs w:val="24"/>
          <w:lang w:val="sr-Latn-ME"/>
        </w:rPr>
        <w:t xml:space="preserve">opotraživanja od kupaca 110.497,15 € ( veća su u odnosu na prethodnu godinu za 10.427,58 €); </w:t>
      </w:r>
    </w:p>
    <w:p>
      <w:pPr>
        <w:numPr>
          <w:ilvl w:val="0"/>
          <w:numId w:val="5"/>
        </w:numPr>
        <w:tabs>
          <w:tab w:val="left" w:pos="420"/>
        </w:tabs>
        <w:jc w:val="both"/>
        <w:rPr>
          <w:sz w:val="24"/>
          <w:szCs w:val="24"/>
          <w:lang w:val="sr-Latn-ME"/>
        </w:rPr>
      </w:pPr>
      <w:r>
        <w:rPr>
          <w:sz w:val="24"/>
          <w:szCs w:val="24"/>
          <w:lang w:val="sr-Latn-ME"/>
        </w:rPr>
        <w:t>ispravka vrijednosti potraživanja 9.187,78 € ( manja su u odnosu na 31.12. prethodne godine za 2.266,19 € );</w:t>
      </w:r>
    </w:p>
    <w:p>
      <w:pPr>
        <w:numPr>
          <w:ilvl w:val="0"/>
          <w:numId w:val="5"/>
        </w:numPr>
        <w:tabs>
          <w:tab w:val="left" w:pos="420"/>
        </w:tabs>
        <w:jc w:val="both"/>
        <w:rPr>
          <w:sz w:val="24"/>
          <w:szCs w:val="24"/>
          <w:lang w:val="sr-Latn-ME"/>
        </w:rPr>
      </w:pPr>
      <w:r>
        <w:rPr>
          <w:sz w:val="24"/>
          <w:szCs w:val="24"/>
          <w:lang w:val="sr-Latn-ME"/>
        </w:rPr>
        <w:t>potraživanja od Opštine-reprogram poreza i doprinosa 665.980,95 € ( manja su u odnosu na 31.12. prethodne godine za 57.911,40 € );</w:t>
      </w:r>
    </w:p>
    <w:p>
      <w:pPr>
        <w:numPr>
          <w:ilvl w:val="0"/>
          <w:numId w:val="5"/>
        </w:numPr>
        <w:tabs>
          <w:tab w:val="left" w:pos="420"/>
        </w:tabs>
        <w:jc w:val="both"/>
        <w:rPr>
          <w:sz w:val="24"/>
          <w:szCs w:val="24"/>
          <w:lang w:val="sr-Latn-ME"/>
        </w:rPr>
      </w:pPr>
      <w:r>
        <w:rPr>
          <w:sz w:val="24"/>
          <w:szCs w:val="24"/>
          <w:lang w:val="sr-Latn-ME"/>
        </w:rPr>
        <w:t>gotovina na žiro računu i u blagajni 8.216,95 € ( manja je za 14.231,84 €);</w:t>
      </w:r>
    </w:p>
    <w:p>
      <w:pPr>
        <w:numPr>
          <w:ilvl w:val="0"/>
          <w:numId w:val="5"/>
        </w:numPr>
        <w:tabs>
          <w:tab w:val="left" w:pos="420"/>
        </w:tabs>
        <w:jc w:val="both"/>
        <w:rPr>
          <w:sz w:val="24"/>
          <w:szCs w:val="24"/>
          <w:lang w:val="sr-Latn-ME"/>
        </w:rPr>
      </w:pPr>
      <w:r>
        <w:rPr>
          <w:sz w:val="24"/>
          <w:szCs w:val="24"/>
          <w:lang w:val="sr-Latn-ME"/>
        </w:rPr>
        <w:t>ulazni pdv 21%-odbitni 14.939,00 € ( veći za 208,11 u odnosu na 31.12. prethodne godine );</w:t>
      </w:r>
    </w:p>
    <w:p>
      <w:pPr>
        <w:numPr>
          <w:ilvl w:val="0"/>
          <w:numId w:val="5"/>
        </w:numPr>
        <w:tabs>
          <w:tab w:val="left" w:pos="420"/>
        </w:tabs>
        <w:jc w:val="both"/>
        <w:rPr>
          <w:sz w:val="24"/>
          <w:szCs w:val="24"/>
          <w:lang w:val="sr-Latn-ME"/>
        </w:rPr>
      </w:pPr>
      <w:r>
        <w:rPr>
          <w:sz w:val="24"/>
          <w:szCs w:val="24"/>
          <w:lang w:val="sr-Latn-ME"/>
        </w:rPr>
        <w:t>potraživanja za više plaćeni pdv 88,61 € ( na prošlogodišnjem nivou ) i</w:t>
      </w:r>
    </w:p>
    <w:p>
      <w:pPr>
        <w:numPr>
          <w:ilvl w:val="0"/>
          <w:numId w:val="5"/>
        </w:numPr>
        <w:tabs>
          <w:tab w:val="left" w:pos="420"/>
        </w:tabs>
        <w:jc w:val="both"/>
        <w:rPr>
          <w:sz w:val="24"/>
          <w:szCs w:val="24"/>
          <w:lang w:val="sr-Latn-ME"/>
        </w:rPr>
      </w:pPr>
      <w:r>
        <w:rPr>
          <w:sz w:val="24"/>
          <w:szCs w:val="24"/>
          <w:lang w:val="sr-Latn-ME"/>
        </w:rPr>
        <w:t>aktivna vremenska razgraničenja 1.359,70 €, a veća su za 73,90 €.</w:t>
      </w:r>
    </w:p>
    <w:p>
      <w:pPr>
        <w:ind w:firstLine="390"/>
        <w:jc w:val="both"/>
        <w:rPr>
          <w:sz w:val="24"/>
          <w:szCs w:val="24"/>
          <w:lang w:val="sr-Latn-ME"/>
        </w:rPr>
      </w:pPr>
    </w:p>
    <w:p>
      <w:pPr>
        <w:ind w:firstLine="390"/>
        <w:jc w:val="both"/>
        <w:rPr>
          <w:sz w:val="24"/>
          <w:szCs w:val="24"/>
          <w:lang w:val="sr-Latn-ME"/>
        </w:rPr>
      </w:pPr>
      <w:r>
        <w:rPr>
          <w:sz w:val="24"/>
          <w:szCs w:val="24"/>
          <w:lang w:val="sr-Latn-ME"/>
        </w:rPr>
        <w:t>Obaveze su iznosile 798.973,20 € ( manje su u odnosu na 31.12. prethodne godine za 29.030,91 € )  i odnose se na:</w:t>
      </w:r>
    </w:p>
    <w:p>
      <w:pPr>
        <w:numPr>
          <w:ilvl w:val="0"/>
          <w:numId w:val="6"/>
        </w:numPr>
        <w:tabs>
          <w:tab w:val="left" w:pos="420"/>
        </w:tabs>
        <w:jc w:val="both"/>
        <w:rPr>
          <w:sz w:val="24"/>
          <w:szCs w:val="24"/>
          <w:lang w:val="sr-Latn-ME"/>
        </w:rPr>
      </w:pPr>
      <w:r>
        <w:rPr>
          <w:sz w:val="24"/>
          <w:szCs w:val="24"/>
          <w:lang w:val="sr-Latn-ME"/>
        </w:rPr>
        <w:t>obaveze prema dobavljačima i ostale obaveze iz poslovanja 65.749,82  € ( veće su u odnosu na 31.12.2022 godine za 20.092,63 € );</w:t>
      </w:r>
    </w:p>
    <w:p>
      <w:pPr>
        <w:numPr>
          <w:ilvl w:val="0"/>
          <w:numId w:val="6"/>
        </w:numPr>
        <w:tabs>
          <w:tab w:val="left" w:pos="420"/>
        </w:tabs>
        <w:jc w:val="both"/>
        <w:rPr>
          <w:sz w:val="24"/>
          <w:szCs w:val="24"/>
          <w:lang w:val="sr-Latn-ME"/>
        </w:rPr>
      </w:pPr>
      <w:r>
        <w:rPr>
          <w:sz w:val="24"/>
          <w:szCs w:val="24"/>
          <w:lang w:val="sr-Latn-ME"/>
        </w:rPr>
        <w:t>obaveze za zarade i druga lična primanja i ostale obaveze 733.223,74 € ( manje su za 49.123,18 € ), od čega su obaveze za porez i doprinose  684.793,03 € i</w:t>
      </w:r>
    </w:p>
    <w:p>
      <w:pPr>
        <w:numPr>
          <w:ilvl w:val="0"/>
          <w:numId w:val="6"/>
        </w:numPr>
        <w:tabs>
          <w:tab w:val="left" w:pos="420"/>
        </w:tabs>
        <w:jc w:val="both"/>
        <w:rPr>
          <w:sz w:val="24"/>
          <w:szCs w:val="24"/>
          <w:lang w:val="sr-Latn-ME"/>
        </w:rPr>
      </w:pPr>
      <w:r>
        <w:rPr>
          <w:sz w:val="24"/>
          <w:szCs w:val="24"/>
          <w:lang w:val="sr-Latn-ME"/>
        </w:rPr>
        <w:t>porez na dodatu vrijednost 0,00 € ( na prošlogodišnjem nivou).</w:t>
      </w:r>
    </w:p>
    <w:p>
      <w:pPr>
        <w:ind w:firstLine="390"/>
        <w:jc w:val="both"/>
        <w:rPr>
          <w:sz w:val="24"/>
          <w:szCs w:val="24"/>
          <w:lang w:val="sr-Latn-ME"/>
        </w:rPr>
      </w:pPr>
      <w:r>
        <w:rPr>
          <w:sz w:val="24"/>
          <w:szCs w:val="24"/>
          <w:lang w:val="sr-Latn-ME"/>
        </w:rPr>
        <w:t xml:space="preserve">Pasivna vremenska razgraničenja su iznosila 9.079.169,40 € i manja su za 210.396,78 €. </w:t>
      </w:r>
    </w:p>
    <w:p>
      <w:pPr>
        <w:pStyle w:val="2"/>
        <w:jc w:val="center"/>
        <w:rPr>
          <w:rFonts w:hint="eastAsia" w:ascii="Lucida Sans Unicode" w:hAnsi="Lucida Sans Unicode" w:cs="Lucida Sans Unicode"/>
        </w:rPr>
      </w:pPr>
      <w:bookmarkStart w:id="22" w:name="__RefHeading___Toc2282_3382316548"/>
      <w:bookmarkEnd w:id="22"/>
      <w:bookmarkStart w:id="23" w:name="_Toc160109714"/>
      <w:r>
        <w:rPr>
          <w:rFonts w:ascii="Lucida Sans Unicode" w:hAnsi="Lucida Sans Unicode" w:cs="Lucida Sans Unicode"/>
        </w:rPr>
        <w:t>5. OPŠTI I KADROVSKI IZVJEŠTAJ</w:t>
      </w:r>
      <w:bookmarkEnd w:id="23"/>
    </w:p>
    <w:p>
      <w:pPr>
        <w:jc w:val="both"/>
        <w:rPr>
          <w:rFonts w:ascii="Arial" w:hAnsi="Arial" w:cs="Arial"/>
          <w:sz w:val="26"/>
          <w:szCs w:val="26"/>
          <w:lang w:val="sr-Latn-ME"/>
        </w:rPr>
      </w:pPr>
    </w:p>
    <w:p>
      <w:pPr>
        <w:ind w:firstLine="720"/>
        <w:jc w:val="both"/>
        <w:rPr>
          <w:bCs/>
          <w:sz w:val="24"/>
          <w:szCs w:val="24"/>
          <w:lang w:val="sr-Latn-BA"/>
        </w:rPr>
      </w:pPr>
      <w:r>
        <w:rPr>
          <w:bCs/>
          <w:sz w:val="24"/>
          <w:szCs w:val="24"/>
          <w:lang w:val="sl-SI"/>
        </w:rPr>
        <w:t>Tokom 202</w:t>
      </w:r>
      <w:r>
        <w:rPr>
          <w:bCs/>
          <w:sz w:val="24"/>
          <w:szCs w:val="24"/>
          <w:lang w:val="sr-Latn-BA"/>
        </w:rPr>
        <w:t>3</w:t>
      </w:r>
      <w:r>
        <w:rPr>
          <w:bCs/>
          <w:sz w:val="24"/>
          <w:szCs w:val="24"/>
          <w:lang w:val="sl-SI"/>
        </w:rPr>
        <w:t xml:space="preserve"> godine, preduzeću </w:t>
      </w:r>
      <w:r>
        <w:rPr>
          <w:bCs/>
          <w:sz w:val="24"/>
          <w:szCs w:val="24"/>
          <w:lang w:val="sr-Latn-BA"/>
        </w:rPr>
        <w:t xml:space="preserve">je </w:t>
      </w:r>
      <w:r>
        <w:rPr>
          <w:bCs/>
          <w:sz w:val="24"/>
          <w:szCs w:val="24"/>
          <w:lang w:val="sl-SI"/>
        </w:rPr>
        <w:t xml:space="preserve">  podnijet   </w:t>
      </w:r>
      <w:r>
        <w:rPr>
          <w:bCs/>
          <w:sz w:val="24"/>
          <w:szCs w:val="24"/>
          <w:lang w:val="sr-Latn-BA"/>
        </w:rPr>
        <w:t xml:space="preserve">jedan </w:t>
      </w:r>
      <w:r>
        <w:rPr>
          <w:bCs/>
          <w:sz w:val="24"/>
          <w:szCs w:val="24"/>
          <w:lang w:val="sl-SI"/>
        </w:rPr>
        <w:t>zahtjev za slobodan pristup informacijama i ovaj upravni postup</w:t>
      </w:r>
      <w:r>
        <w:rPr>
          <w:bCs/>
          <w:sz w:val="24"/>
          <w:szCs w:val="24"/>
          <w:lang w:val="sr-Latn-BA"/>
        </w:rPr>
        <w:t xml:space="preserve">ak </w:t>
      </w:r>
      <w:r>
        <w:rPr>
          <w:bCs/>
          <w:sz w:val="24"/>
          <w:szCs w:val="24"/>
          <w:lang w:val="sl-SI"/>
        </w:rPr>
        <w:t xml:space="preserve"> okončan </w:t>
      </w:r>
      <w:r>
        <w:rPr>
          <w:bCs/>
          <w:sz w:val="24"/>
          <w:szCs w:val="24"/>
          <w:lang w:val="sr-Latn-BA"/>
        </w:rPr>
        <w:t xml:space="preserve">je </w:t>
      </w:r>
      <w:r>
        <w:rPr>
          <w:bCs/>
          <w:sz w:val="24"/>
          <w:szCs w:val="24"/>
          <w:lang w:val="sl-SI"/>
        </w:rPr>
        <w:t>na način što</w:t>
      </w:r>
      <w:r>
        <w:rPr>
          <w:bCs/>
          <w:sz w:val="24"/>
          <w:szCs w:val="24"/>
          <w:lang w:val="sr-Latn-BA"/>
        </w:rPr>
        <w:t xml:space="preserve"> je  zahtjevu djelimično udovoljeno. </w:t>
      </w:r>
    </w:p>
    <w:p>
      <w:pPr>
        <w:ind w:firstLine="720"/>
        <w:jc w:val="both"/>
        <w:rPr>
          <w:bCs/>
          <w:sz w:val="24"/>
          <w:szCs w:val="24"/>
          <w:lang w:val="sr-Latn-BA"/>
        </w:rPr>
      </w:pPr>
      <w:r>
        <w:rPr>
          <w:bCs/>
          <w:sz w:val="24"/>
          <w:szCs w:val="24"/>
          <w:lang w:val="sl-SI"/>
        </w:rPr>
        <w:t xml:space="preserve">Što se tiče kadrovske strukture </w:t>
      </w:r>
      <w:r>
        <w:rPr>
          <w:sz w:val="24"/>
          <w:szCs w:val="24"/>
          <w:lang w:val="sr-Latn-ME"/>
        </w:rPr>
        <w:t>J.P. „Sportski centar Nikšić“ u 202</w:t>
      </w:r>
      <w:r>
        <w:rPr>
          <w:sz w:val="24"/>
          <w:szCs w:val="24"/>
          <w:lang w:val="sr-Latn-BA"/>
        </w:rPr>
        <w:t>3</w:t>
      </w:r>
      <w:r>
        <w:rPr>
          <w:sz w:val="24"/>
          <w:szCs w:val="24"/>
          <w:lang w:val="sr-Latn-ME"/>
        </w:rPr>
        <w:t xml:space="preserve"> godini započelo je sa brojem od  </w:t>
      </w:r>
      <w:r>
        <w:rPr>
          <w:sz w:val="24"/>
          <w:szCs w:val="24"/>
          <w:lang w:val="sr-Latn-BA"/>
        </w:rPr>
        <w:t>81</w:t>
      </w:r>
      <w:r>
        <w:rPr>
          <w:sz w:val="24"/>
          <w:szCs w:val="24"/>
          <w:lang w:val="sr-Latn-ME"/>
        </w:rPr>
        <w:t xml:space="preserve"> stalno  zaposlenih radnika. U</w:t>
      </w:r>
      <w:r>
        <w:rPr>
          <w:sz w:val="24"/>
          <w:szCs w:val="24"/>
          <w:lang w:val="sr-Latn-BA"/>
        </w:rPr>
        <w:t xml:space="preserve"> </w:t>
      </w:r>
      <w:r>
        <w:rPr>
          <w:sz w:val="24"/>
          <w:szCs w:val="24"/>
          <w:lang w:val="sr-Latn-ME"/>
        </w:rPr>
        <w:t xml:space="preserve"> </w:t>
      </w:r>
      <w:r>
        <w:rPr>
          <w:sz w:val="24"/>
          <w:szCs w:val="24"/>
          <w:lang w:val="sr-Latn-BA"/>
        </w:rPr>
        <w:t>julu mjesecu</w:t>
      </w:r>
      <w:r>
        <w:rPr>
          <w:sz w:val="24"/>
          <w:szCs w:val="24"/>
          <w:lang w:val="sr-Latn-ME"/>
        </w:rPr>
        <w:t xml:space="preserve">  jed</w:t>
      </w:r>
      <w:r>
        <w:rPr>
          <w:sz w:val="24"/>
          <w:szCs w:val="24"/>
          <w:lang w:val="sr-Latn-BA"/>
        </w:rPr>
        <w:t xml:space="preserve">an </w:t>
      </w:r>
      <w:r>
        <w:rPr>
          <w:sz w:val="24"/>
          <w:szCs w:val="24"/>
          <w:lang w:val="sr-Latn-ME"/>
        </w:rPr>
        <w:t xml:space="preserve"> radnik</w:t>
      </w:r>
      <w:r>
        <w:rPr>
          <w:sz w:val="24"/>
          <w:szCs w:val="24"/>
          <w:lang w:val="sr-Latn-BA"/>
        </w:rPr>
        <w:t xml:space="preserve"> ostvario je pravo na starosnu penziju čime mu je po sili zakona </w:t>
      </w:r>
      <w:r>
        <w:rPr>
          <w:sz w:val="24"/>
          <w:szCs w:val="24"/>
          <w:lang w:val="sr-Latn-ME"/>
        </w:rPr>
        <w:t>raskinu</w:t>
      </w:r>
      <w:r>
        <w:rPr>
          <w:sz w:val="24"/>
          <w:szCs w:val="24"/>
          <w:lang w:val="sr-Latn-BA"/>
        </w:rPr>
        <w:t>t</w:t>
      </w:r>
      <w:r>
        <w:rPr>
          <w:sz w:val="24"/>
          <w:szCs w:val="24"/>
          <w:lang w:val="sr-Latn-ME"/>
        </w:rPr>
        <w:t xml:space="preserve">  radni odnos</w:t>
      </w:r>
      <w:r>
        <w:rPr>
          <w:sz w:val="24"/>
          <w:szCs w:val="24"/>
          <w:lang w:val="sr-Latn-BA"/>
        </w:rPr>
        <w:t>. U novembru mjesecu trinaest radnika zasnovalo je radni odnos na neodređeno vrijeme, čime je preduzeće podmladilo svoj kadrovski potencijal.</w:t>
      </w:r>
    </w:p>
    <w:p>
      <w:pPr>
        <w:ind w:firstLine="720"/>
        <w:jc w:val="both"/>
        <w:rPr>
          <w:rFonts w:ascii="Arial" w:hAnsi="Arial" w:cs="Arial"/>
          <w:sz w:val="24"/>
          <w:szCs w:val="24"/>
          <w:lang w:val="sr-Latn-ME"/>
        </w:rPr>
      </w:pPr>
    </w:p>
    <w:p>
      <w:pPr>
        <w:pStyle w:val="2"/>
        <w:jc w:val="center"/>
        <w:rPr>
          <w:rFonts w:hint="eastAsia" w:ascii="Lucida Sans Unicode" w:hAnsi="Lucida Sans Unicode" w:cs="Lucida Sans Unicode"/>
        </w:rPr>
      </w:pPr>
      <w:bookmarkStart w:id="24" w:name="__RefHeading___Toc2284_3382316548"/>
      <w:bookmarkEnd w:id="24"/>
      <w:bookmarkStart w:id="25" w:name="_Toc160109715"/>
      <w:r>
        <w:rPr>
          <w:rFonts w:ascii="Lucida Sans Unicode" w:hAnsi="Lucida Sans Unicode" w:cs="Lucida Sans Unicode"/>
        </w:rPr>
        <w:t>6. IZVJEŠTAJ O RADU UPRAVNOG ODBORA</w:t>
      </w:r>
      <w:bookmarkEnd w:id="25"/>
    </w:p>
    <w:p>
      <w:pPr>
        <w:ind w:firstLine="720"/>
        <w:jc w:val="both"/>
        <w:rPr>
          <w:bCs/>
          <w:sz w:val="26"/>
          <w:szCs w:val="26"/>
        </w:rPr>
      </w:pPr>
    </w:p>
    <w:p>
      <w:pPr>
        <w:jc w:val="both"/>
      </w:pPr>
      <w:r>
        <w:rPr>
          <w:sz w:val="24"/>
          <w:szCs w:val="24"/>
          <w:lang w:val="sr-Latn-ME"/>
        </w:rPr>
        <w:t xml:space="preserve">Upravni odbor J.P. „Sportski centar Nikšić“, imenovan je  rješenjem  broj 01-030-267 donijetIm od strane Skupštine opštine Nikšić  dana 29.07.2021 godine. Predstavnici Upravnog odbora iz reda zaposlenih imenovani su rješenjem broj 01-030-402 od 10.09.2021 godine, čime je kompletiran saziv Upravnog odbora. </w:t>
      </w:r>
    </w:p>
    <w:p>
      <w:pPr>
        <w:jc w:val="both"/>
      </w:pPr>
      <w:r>
        <w:rPr>
          <w:sz w:val="24"/>
          <w:szCs w:val="24"/>
          <w:lang w:val="sr-Latn-ME"/>
        </w:rPr>
        <w:t xml:space="preserve">Upravni odbor u 2023 godini održao je sedam  sjednica. </w:t>
      </w:r>
    </w:p>
    <w:p>
      <w:pPr>
        <w:jc w:val="both"/>
      </w:pPr>
      <w:r>
        <w:rPr>
          <w:sz w:val="24"/>
          <w:szCs w:val="24"/>
          <w:lang w:val="sr-Latn-ME"/>
        </w:rPr>
        <w:t>Prva  sjednica u 2023-oj godini, a četrnaesta sjednica ovog saziva  održana je dana 30.01.2023 godine, i na istoj je usvojen izvještaj centralne popisne komisije za 2022 godinu i plan javnih nabavki za 2023 godinu.</w:t>
      </w:r>
    </w:p>
    <w:p>
      <w:pPr>
        <w:jc w:val="both"/>
      </w:pPr>
      <w:r>
        <w:rPr>
          <w:sz w:val="24"/>
          <w:szCs w:val="24"/>
          <w:lang w:val="sr-Latn-ME"/>
        </w:rPr>
        <w:t>Druga sjednica u 2023-oj godini, a petnaesta  sjednica ovoga saziva održana je dana 31.03.2023 godine, i na istoj je usvojen izvještaj o radu za 2022 godinu, kao i Izvještaj menadžmenta.</w:t>
      </w:r>
    </w:p>
    <w:p>
      <w:pPr>
        <w:pStyle w:val="9"/>
        <w:jc w:val="both"/>
      </w:pPr>
      <w:r>
        <w:rPr>
          <w:sz w:val="24"/>
          <w:szCs w:val="24"/>
          <w:lang w:val="sr-Latn-ME"/>
        </w:rPr>
        <w:t>Treća sjednica u 2023-oj godini, a šesnaesta sjednica  ovog  saziva održana je dana 25.05.2023 godine i na istoj je donijeta odluka o</w:t>
      </w:r>
      <w:r>
        <w:rPr>
          <w:bCs/>
          <w:sz w:val="24"/>
          <w:szCs w:val="24"/>
          <w:lang w:val="sr-Latn-ME"/>
        </w:rPr>
        <w:t xml:space="preserve"> postavljanju solarnih panela na krovu bazena objekta J.P. Sportski centar Nikšić.</w:t>
      </w:r>
    </w:p>
    <w:p>
      <w:pPr>
        <w:jc w:val="both"/>
      </w:pPr>
      <w:r>
        <w:rPr>
          <w:sz w:val="24"/>
          <w:szCs w:val="24"/>
          <w:lang w:val="sr-Latn-ME"/>
        </w:rPr>
        <w:t>Četvrta sjednica upravnog odbora u 2023-oj godini  ili sedamnaesta sjednica ovog saziva održana je dana 25.07.2023 godine, i na istoj je donijet Pravilnik o izmjeni pravilnika o sistematizaciji radnih mjesta u J.P. Sportski centar Nikšić.</w:t>
      </w:r>
    </w:p>
    <w:p>
      <w:pPr>
        <w:jc w:val="both"/>
      </w:pPr>
      <w:r>
        <w:rPr>
          <w:sz w:val="24"/>
          <w:szCs w:val="24"/>
          <w:lang w:val="sr-Latn-ME"/>
        </w:rPr>
        <w:t>Peta sjednica u 2023-oj godini ili osamnaesta sjednica ovog saziva održana je dana 28.09.2023 godine i na istoj je usvojen Izvještaj o reviziji finansijskih  iskaza za 2022 godinu. Razmatran je Pravilnik o izmjeni pravilnika o unutrašnjoj organizaciji sa sistematizacijom radnih mjesta, takođe razmatran je i Pravilnik o izmjeni Pravilnika o zaradama naknadama i ostalim primanjima ali isti nijesu donijeti.</w:t>
      </w:r>
    </w:p>
    <w:p>
      <w:pPr>
        <w:jc w:val="both"/>
      </w:pPr>
      <w:r>
        <w:rPr>
          <w:sz w:val="24"/>
          <w:szCs w:val="24"/>
          <w:lang w:val="sr-Latn-ME"/>
        </w:rPr>
        <w:t>Šesta sjednica upravnog odbora u 2023-oj godini, ili devetnaesta sjednica ovog saziva održana je dana 04.12.2023 godine. Na istoj je usvojen Program rada za 2024 godinu.</w:t>
      </w:r>
    </w:p>
    <w:p>
      <w:pPr>
        <w:jc w:val="both"/>
      </w:pPr>
      <w:r>
        <w:rPr>
          <w:sz w:val="24"/>
          <w:szCs w:val="24"/>
          <w:lang w:val="sr-Latn-ME"/>
        </w:rPr>
        <w:t>Sedma sjednica Upravnog odbora u 2023-oj godini ili dvadeseta sjednica ovog saziva održana je dana 28.12.2023 godine, i na istoj je donijet Pravilnik o zaradama, naknadama i ostalim primanjima zaposlenih u J.P. „Sportski centar Nikšić“, kao i Plan javnih nabavki za 2024 godinu.</w:t>
      </w:r>
    </w:p>
    <w:p>
      <w:pPr>
        <w:pStyle w:val="2"/>
        <w:jc w:val="center"/>
        <w:rPr>
          <w:rFonts w:hint="eastAsia" w:ascii="Lucida Sans Unicode" w:hAnsi="Lucida Sans Unicode" w:cs="Lucida Sans Unicode"/>
          <w:color w:val="FF0000"/>
        </w:rPr>
      </w:pPr>
      <w:bookmarkStart w:id="26" w:name="__RefHeading___Toc2286_3382316548"/>
      <w:bookmarkEnd w:id="26"/>
      <w:bookmarkStart w:id="27" w:name="_Toc160109716"/>
      <w:r>
        <w:rPr>
          <w:rFonts w:ascii="Lucida Sans Unicode" w:hAnsi="Lucida Sans Unicode" w:cs="Lucida Sans Unicode"/>
          <w:color w:val="FF0000"/>
        </w:rPr>
        <w:t>KONSTATACIJE I ZAKLjUČCI</w:t>
      </w:r>
      <w:bookmarkEnd w:id="27"/>
    </w:p>
    <w:p>
      <w:pPr>
        <w:jc w:val="both"/>
        <w:rPr>
          <w:rFonts w:hint="eastAsia" w:eastAsia="SimSun" w:cs="Calibri"/>
          <w:color w:val="FF0000"/>
          <w:sz w:val="26"/>
          <w:szCs w:val="26"/>
        </w:rPr>
      </w:pPr>
    </w:p>
    <w:p>
      <w:pPr>
        <w:tabs>
          <w:tab w:val="left" w:pos="833"/>
          <w:tab w:val="left" w:pos="967"/>
        </w:tabs>
        <w:jc w:val="both"/>
      </w:pPr>
      <w:r>
        <w:rPr>
          <w:rFonts w:eastAsia="SimSun"/>
          <w:sz w:val="24"/>
          <w:szCs w:val="24"/>
          <w:lang w:val="sl-SI"/>
        </w:rPr>
        <w:t xml:space="preserve">           U skladu sa Programom rada za 2023 godinu u J.P. "Sportski centar Nikšić" je sprovođena osnovna javna funkcija, kroz pružanje usluga vrhunskom sportu u takmičarskom i trenažnom procesu, kao i usluga sportske rekreacije. </w:t>
      </w:r>
    </w:p>
    <w:p>
      <w:pPr>
        <w:numPr>
          <w:ilvl w:val="0"/>
          <w:numId w:val="7"/>
        </w:numPr>
        <w:tabs>
          <w:tab w:val="left" w:pos="420"/>
        </w:tabs>
        <w:ind w:left="0" w:firstLine="850"/>
        <w:jc w:val="both"/>
        <w:rPr>
          <w:rFonts w:hint="eastAsia" w:eastAsia="SimSun"/>
          <w:sz w:val="24"/>
          <w:szCs w:val="24"/>
          <w:lang w:val="sr-Latn-ME"/>
        </w:rPr>
      </w:pPr>
      <w:r>
        <w:rPr>
          <w:rFonts w:eastAsia="SimSun"/>
          <w:sz w:val="24"/>
          <w:szCs w:val="24"/>
          <w:lang w:val="sr-Latn-ME"/>
        </w:rPr>
        <w:t>Preduzeće je 2023. godine negativno poslovalo, uprkos povećanju prihoda od osnovne djelatnosti od 7%. Razlog lošijeg rezultata je probijanje rokova za završetak sanacijskih radova na bazenskoj tehnici koji su trebali biti završeni do 15.01.2023 ali su trajali do 01.04.2023. Iznos ostvarenih prihoda bi bio daleko veći da je bazen radio u punom kapacitetu a samim time i rezultat poslovanja bi bio pozitivniji.</w:t>
      </w:r>
    </w:p>
    <w:p>
      <w:pPr>
        <w:numPr>
          <w:ilvl w:val="0"/>
          <w:numId w:val="7"/>
        </w:numPr>
        <w:tabs>
          <w:tab w:val="left" w:pos="420"/>
        </w:tabs>
        <w:ind w:left="0" w:firstLine="850"/>
        <w:jc w:val="both"/>
        <w:rPr>
          <w:rFonts w:hint="eastAsia" w:eastAsia="SimSun"/>
          <w:sz w:val="24"/>
          <w:szCs w:val="24"/>
          <w:lang w:val="sr-Latn-ME"/>
        </w:rPr>
      </w:pPr>
      <w:r>
        <w:rPr>
          <w:rFonts w:eastAsia="SimSun"/>
          <w:sz w:val="24"/>
          <w:szCs w:val="24"/>
          <w:lang w:val="sr-Latn-ME"/>
        </w:rPr>
        <w:t>Sredstva po osnovu transfera iz budžeta Osnivača opredijeljena za 2023. godinu namjenski su korišćena, a ostvareni su i sopstveni prihodi izdavanjem  sportskih  terena, poslovnih prostora  i  reklamnog prostora.</w:t>
      </w:r>
    </w:p>
    <w:p>
      <w:pPr>
        <w:numPr>
          <w:ilvl w:val="0"/>
          <w:numId w:val="7"/>
        </w:numPr>
        <w:tabs>
          <w:tab w:val="left" w:pos="420"/>
        </w:tabs>
        <w:ind w:left="0" w:firstLine="850"/>
        <w:jc w:val="both"/>
        <w:rPr>
          <w:rFonts w:hint="eastAsia" w:eastAsia="SimSun"/>
          <w:sz w:val="24"/>
          <w:szCs w:val="24"/>
          <w:lang w:val="sr-Latn-ME"/>
        </w:rPr>
      </w:pPr>
      <w:r>
        <w:rPr>
          <w:rFonts w:eastAsia="SimSun"/>
          <w:sz w:val="24"/>
          <w:szCs w:val="24"/>
          <w:lang w:val="sr-Latn-ME"/>
        </w:rPr>
        <w:t xml:space="preserve">Analizom ostvarenih rashoda za 2023. godinu evidentno je povećanje istih za 1%, ali smo ponosni na činjenicu da smo dobrom organizacijom, racionalizacijom troškova poslovanja uspjeli održati gotovo čitavu strukturu rashoda na optimalnom nivou usljed rastuće inflacije. </w:t>
      </w:r>
    </w:p>
    <w:p>
      <w:pPr>
        <w:numPr>
          <w:ilvl w:val="0"/>
          <w:numId w:val="7"/>
        </w:numPr>
        <w:tabs>
          <w:tab w:val="left" w:pos="420"/>
        </w:tabs>
        <w:ind w:left="0" w:firstLine="850"/>
        <w:jc w:val="both"/>
        <w:rPr>
          <w:rFonts w:hint="eastAsia" w:eastAsia="SimSun"/>
          <w:sz w:val="24"/>
          <w:szCs w:val="24"/>
          <w:lang w:val="sr-Latn-ME"/>
        </w:rPr>
      </w:pPr>
      <w:r>
        <w:rPr>
          <w:rFonts w:eastAsia="SimSun"/>
          <w:sz w:val="24"/>
          <w:szCs w:val="24"/>
          <w:lang w:val="sr-Latn-ME"/>
        </w:rPr>
        <w:t xml:space="preserve">Poslovne aktivnosti Preduzeća bile su izložene različitim vrstama finansijskih rizika, tržišnom riziku, kreditnom riziku i riziku likvidnosti, no uprkos istome, Preduzeće je svoje obaveze uspijevalo podmirivati u rokovima. Što ukazuje na to da je uprava pratila finansijske rizike i njihov mogući uticaj na poslovanje Preduzeća. </w:t>
      </w:r>
    </w:p>
    <w:p>
      <w:pPr>
        <w:ind w:firstLine="720"/>
        <w:jc w:val="right"/>
        <w:rPr>
          <w:rFonts w:hint="eastAsia" w:eastAsia="SimSun"/>
          <w:sz w:val="24"/>
          <w:szCs w:val="24"/>
          <w:lang w:val="sr-Latn-ME"/>
        </w:rPr>
      </w:pPr>
    </w:p>
    <w:p>
      <w:pPr>
        <w:ind w:firstLine="720"/>
        <w:jc w:val="right"/>
        <w:rPr>
          <w:rFonts w:hint="eastAsia" w:eastAsia="SimSun"/>
          <w:sz w:val="24"/>
          <w:szCs w:val="24"/>
          <w:lang w:val="sr-Latn-ME"/>
        </w:rPr>
      </w:pPr>
      <w:r>
        <w:rPr>
          <w:rFonts w:eastAsia="SimSun"/>
          <w:sz w:val="24"/>
          <w:szCs w:val="24"/>
          <w:lang w:val="sr-Latn-ME"/>
        </w:rPr>
        <w:t>Direktor</w:t>
      </w:r>
    </w:p>
    <w:p>
      <w:pPr>
        <w:ind w:firstLine="720"/>
        <w:jc w:val="right"/>
        <w:rPr>
          <w:rFonts w:hint="eastAsia" w:eastAsia="SimSun"/>
          <w:sz w:val="24"/>
          <w:szCs w:val="24"/>
          <w:lang w:val="sr-Latn-ME"/>
        </w:rPr>
      </w:pPr>
      <w:r>
        <w:rPr>
          <w:rFonts w:eastAsia="SimSun"/>
          <w:sz w:val="24"/>
          <w:szCs w:val="24"/>
          <w:lang w:val="sr-Latn-ME"/>
        </w:rPr>
        <w:t>Boško Drašković</w:t>
      </w:r>
    </w:p>
    <w:p>
      <w:pPr>
        <w:ind w:firstLine="720"/>
        <w:jc w:val="right"/>
        <w:rPr>
          <w:sz w:val="24"/>
          <w:szCs w:val="24"/>
          <w:lang w:val="sr-Latn-ME"/>
        </w:rPr>
      </w:pPr>
      <w:bookmarkStart w:id="28" w:name="_Hlk501114800"/>
      <w:r>
        <w:rPr>
          <w:sz w:val="24"/>
          <w:szCs w:val="24"/>
          <w:lang w:val="sr-Latn-ME"/>
        </w:rPr>
        <w:t>_____________</w:t>
      </w:r>
      <w:bookmarkEnd w:id="28"/>
      <w:r>
        <w:rPr>
          <w:sz w:val="24"/>
          <w:szCs w:val="24"/>
          <w:lang w:val="sr-Latn-ME"/>
        </w:rPr>
        <w:t>_____</w:t>
      </w:r>
    </w:p>
    <w:p>
      <w:pPr>
        <w:pStyle w:val="9"/>
        <w:spacing w:before="127" w:line="271" w:lineRule="auto"/>
        <w:ind w:left="900" w:right="1119" w:hanging="96"/>
        <w:rPr>
          <w:color w:val="FF5757"/>
        </w:rPr>
      </w:pPr>
    </w:p>
    <w:p>
      <w:pPr>
        <w:pStyle w:val="9"/>
        <w:spacing w:before="127" w:line="271" w:lineRule="auto"/>
        <w:ind w:left="900" w:right="1119" w:hanging="96"/>
        <w:rPr>
          <w:color w:val="FF5757"/>
        </w:rPr>
      </w:pPr>
    </w:p>
    <w:p>
      <w:pPr>
        <w:pStyle w:val="9"/>
        <w:spacing w:before="127" w:line="271" w:lineRule="auto"/>
        <w:ind w:left="900" w:right="1119" w:hanging="96"/>
        <w:rPr>
          <w:color w:val="FF5757"/>
        </w:rPr>
      </w:pPr>
    </w:p>
    <w:p>
      <w:pPr>
        <w:pStyle w:val="9"/>
        <w:spacing w:before="127" w:line="271" w:lineRule="auto"/>
        <w:ind w:left="900" w:right="1119" w:hanging="96"/>
        <w:rPr>
          <w:color w:val="FF5757"/>
        </w:rPr>
      </w:pPr>
    </w:p>
    <w:sectPr>
      <w:headerReference r:id="rId5" w:type="first"/>
      <w:footerReference r:id="rId8" w:type="first"/>
      <w:headerReference r:id="rId3" w:type="default"/>
      <w:footerReference r:id="rId6" w:type="default"/>
      <w:headerReference r:id="rId4" w:type="even"/>
      <w:footerReference r:id="rId7" w:type="even"/>
      <w:pgSz w:w="11906" w:h="16838"/>
      <w:pgMar w:top="778" w:right="1152" w:bottom="778" w:left="1152" w:header="720" w:footer="720" w:gutter="0"/>
      <w:pgNumType w:start="1"/>
      <w:cols w:space="720" w:num="1"/>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黑体">
    <w:altName w:val="SimSun"/>
    <w:panose1 w:val="00000000000000000000"/>
    <w:charset w:val="00"/>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Lucida Sans Unicode">
    <w:panose1 w:val="020B0602030504020204"/>
    <w:charset w:val="00"/>
    <w:family w:val="swiss"/>
    <w:pitch w:val="default"/>
    <w:sig w:usb0="80001AFF" w:usb1="0000396B" w:usb2="00000000" w:usb3="00000000" w:csb0="200000BF" w:csb1="D7F7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Liberation Sans">
    <w:altName w:val="Arial"/>
    <w:panose1 w:val="00000000000000000000"/>
    <w:charset w:val="EE"/>
    <w:family w:val="roman"/>
    <w:pitch w:val="default"/>
    <w:sig w:usb0="00000000" w:usb1="00000000" w:usb2="00000000" w:usb3="00000000" w:csb0="00000000" w:csb1="00000000"/>
  </w:font>
  <w:font w:name="Microsoft YaHei">
    <w:panose1 w:val="020B0503020204020204"/>
    <w:charset w:val="86"/>
    <w:family w:val="swiss"/>
    <w:pitch w:val="default"/>
    <w:sig w:usb0="80000287" w:usb1="2ACF3C50" w:usb2="00000016" w:usb3="00000000" w:csb0="0004001F" w:csb1="00000000"/>
  </w:font>
  <w:font w:name="Mangal">
    <w:altName w:val="Courier New"/>
    <w:panose1 w:val="00000400000000000000"/>
    <w:charset w:val="01"/>
    <w:family w:val="roman"/>
    <w:pitch w:val="default"/>
    <w:sig w:usb0="00000000" w:usb1="00000000" w:usb2="00000000" w:usb3="00000000" w:csb0="00000000" w:csb1="00000000"/>
  </w:font>
  <w:font w:name="Arial Unicode MS;Arial">
    <w:altName w:val="Arial"/>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0" distR="0" simplePos="0" relativeHeight="251660288" behindDoc="1" locked="0" layoutInCell="0" allowOverlap="1">
              <wp:simplePos x="0" y="0"/>
              <wp:positionH relativeFrom="margin">
                <wp:align>center</wp:align>
              </wp:positionH>
              <wp:positionV relativeFrom="paragraph">
                <wp:posOffset>635</wp:posOffset>
              </wp:positionV>
              <wp:extent cx="146685" cy="175895"/>
              <wp:effectExtent l="0" t="0" r="0" b="0"/>
              <wp:wrapNone/>
              <wp:docPr id="24" name="Frame3"/>
              <wp:cNvGraphicFramePr/>
              <a:graphic xmlns:a="http://schemas.openxmlformats.org/drawingml/2006/main">
                <a:graphicData uri="http://schemas.microsoft.com/office/word/2010/wordprocessingShape">
                  <wps:wsp>
                    <wps:cNvSpPr/>
                    <wps:spPr>
                      <a:xfrm>
                        <a:off x="0" y="0"/>
                        <a:ext cx="146520" cy="176040"/>
                      </a:xfrm>
                      <a:prstGeom prst="rect">
                        <a:avLst/>
                      </a:prstGeom>
                      <a:noFill/>
                      <a:ln w="0">
                        <a:noFill/>
                      </a:ln>
                    </wps:spPr>
                    <wps:style>
                      <a:lnRef idx="0">
                        <a:scrgbClr r="0" g="0" b="0"/>
                      </a:lnRef>
                      <a:fillRef idx="0">
                        <a:scrgbClr r="0" g="0" b="0"/>
                      </a:fillRef>
                      <a:effectRef idx="0">
                        <a:scrgbClr r="0" g="0" b="0"/>
                      </a:effectRef>
                      <a:fontRef idx="minor"/>
                    </wps:style>
                    <wps:txbx>
                      <w:txbxContent>
                        <w:p>
                          <w:pPr>
                            <w:pStyle w:val="11"/>
                            <w:rPr>
                              <w:color w:val="000000"/>
                            </w:rPr>
                          </w:pPr>
                          <w:r>
                            <w:rPr>
                              <w:color w:val="000000"/>
                            </w:rPr>
                            <w:fldChar w:fldCharType="begin"/>
                          </w:r>
                          <w:r>
                            <w:rPr>
                              <w:color w:val="000000"/>
                            </w:rPr>
                            <w:instrText xml:space="preserve"> PAGE </w:instrText>
                          </w:r>
                          <w:r>
                            <w:rPr>
                              <w:color w:val="000000"/>
                            </w:rPr>
                            <w:fldChar w:fldCharType="separate"/>
                          </w:r>
                          <w:r>
                            <w:rPr>
                              <w:color w:val="000000"/>
                            </w:rPr>
                            <w:t>16</w:t>
                          </w:r>
                          <w:r>
                            <w:rPr>
                              <w:color w:val="000000"/>
                            </w:rPr>
                            <w:fldChar w:fldCharType="end"/>
                          </w:r>
                        </w:p>
                      </w:txbxContent>
                    </wps:txbx>
                    <wps:bodyPr lIns="720" tIns="720" rIns="720" bIns="720" anchor="t">
                      <a:spAutoFit/>
                    </wps:bodyPr>
                  </wps:wsp>
                </a:graphicData>
              </a:graphic>
            </wp:anchor>
          </w:drawing>
        </mc:Choice>
        <mc:Fallback>
          <w:pict>
            <v:rect id="Frame3" o:spid="_x0000_s1026" o:spt="1" style="position:absolute;left:0pt;margin-top:0.05pt;height:13.85pt;width:11.55pt;mso-position-horizontal:center;mso-position-horizontal-relative:margin;z-index:-251656192;mso-width-relative:page;mso-height-relative:page;" filled="f" stroked="f" coordsize="21600,21600" o:allowincell="f" o:gfxdata="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QK2SDU&#10;AAAAAwEAAA8AAAAAAAAAAQAgAAAAIgAAAGRycy9kb3ducmV2LnhtbFBLAQIUABQAAAAIAIdO4kC3&#10;TjZAsgEAAIoDAAAOAAAAAAAAAAEAIAAAACMBAABkcnMvZTJvRG9jLnhtbFBLBQYAAAAABgAGAFkB&#10;AABHBQAAAAA=&#10;">
              <v:fill on="f" focussize="0,0"/>
              <v:stroke on="f" weight="0pt"/>
              <v:imagedata o:title=""/>
              <o:lock v:ext="edit" aspectratio="f"/>
              <v:textbox inset="0.02mm,0.02mm,0.02mm,0.02mm" style="mso-fit-shape-to-text:t;">
                <w:txbxContent>
                  <w:p>
                    <w:pPr>
                      <w:pStyle w:val="11"/>
                      <w:rPr>
                        <w:color w:val="000000"/>
                      </w:rPr>
                    </w:pPr>
                    <w:r>
                      <w:rPr>
                        <w:color w:val="000000"/>
                      </w:rPr>
                      <w:fldChar w:fldCharType="begin"/>
                    </w:r>
                    <w:r>
                      <w:rPr>
                        <w:color w:val="000000"/>
                      </w:rPr>
                      <w:instrText xml:space="preserve"> PAGE </w:instrText>
                    </w:r>
                    <w:r>
                      <w:rPr>
                        <w:color w:val="000000"/>
                      </w:rPr>
                      <w:fldChar w:fldCharType="separate"/>
                    </w:r>
                    <w:r>
                      <w:rPr>
                        <w:color w:val="000000"/>
                      </w:rPr>
                      <w:t>16</w:t>
                    </w:r>
                    <w:r>
                      <w:rPr>
                        <w:color w:val="000000"/>
                      </w:rP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0" distR="0" simplePos="0" relativeHeight="251661312" behindDoc="1" locked="0" layoutInCell="0" allowOverlap="1">
              <wp:simplePos x="0" y="0"/>
              <wp:positionH relativeFrom="margin">
                <wp:align>center</wp:align>
              </wp:positionH>
              <wp:positionV relativeFrom="paragraph">
                <wp:posOffset>635</wp:posOffset>
              </wp:positionV>
              <wp:extent cx="146685" cy="177165"/>
              <wp:effectExtent l="0" t="0" r="0" b="0"/>
              <wp:wrapNone/>
              <wp:docPr id="23" name="Frame 2"/>
              <wp:cNvGraphicFramePr/>
              <a:graphic xmlns:a="http://schemas.openxmlformats.org/drawingml/2006/main">
                <a:graphicData uri="http://schemas.microsoft.com/office/word/2010/wordprocessingShape">
                  <wps:wsp>
                    <wps:cNvSpPr/>
                    <wps:spPr>
                      <a:xfrm>
                        <a:off x="0" y="0"/>
                        <a:ext cx="146520" cy="177120"/>
                      </a:xfrm>
                      <a:prstGeom prst="rect">
                        <a:avLst/>
                      </a:prstGeom>
                      <a:noFill/>
                      <a:ln w="0">
                        <a:noFill/>
                      </a:ln>
                    </wps:spPr>
                    <wps:style>
                      <a:lnRef idx="0">
                        <a:scrgbClr r="0" g="0" b="0"/>
                      </a:lnRef>
                      <a:fillRef idx="0">
                        <a:scrgbClr r="0" g="0" b="0"/>
                      </a:fillRef>
                      <a:effectRef idx="0">
                        <a:scrgbClr r="0" g="0" b="0"/>
                      </a:effectRef>
                      <a:fontRef idx="minor"/>
                    </wps:style>
                    <wps:txbx>
                      <w:txbxContent>
                        <w:p>
                          <w:pPr>
                            <w:pStyle w:val="11"/>
                            <w:rPr>
                              <w:color w:val="000000"/>
                            </w:rPr>
                          </w:pPr>
                          <w:r>
                            <w:rPr>
                              <w:color w:val="000000"/>
                            </w:rPr>
                            <w:fldChar w:fldCharType="begin"/>
                          </w:r>
                          <w:r>
                            <w:rPr>
                              <w:color w:val="000000"/>
                            </w:rPr>
                            <w:instrText xml:space="preserve"> PAGE </w:instrText>
                          </w:r>
                          <w:r>
                            <w:rPr>
                              <w:color w:val="000000"/>
                            </w:rPr>
                            <w:fldChar w:fldCharType="separate"/>
                          </w:r>
                          <w:r>
                            <w:rPr>
                              <w:color w:val="000000"/>
                            </w:rPr>
                            <w:t>0</w:t>
                          </w:r>
                          <w:r>
                            <w:rPr>
                              <w:color w:val="000000"/>
                            </w:rPr>
                            <w:fldChar w:fldCharType="end"/>
                          </w:r>
                        </w:p>
                      </w:txbxContent>
                    </wps:txbx>
                    <wps:bodyPr lIns="720" tIns="720" rIns="720" bIns="720" anchor="t">
                      <a:spAutoFit/>
                    </wps:bodyPr>
                  </wps:wsp>
                </a:graphicData>
              </a:graphic>
            </wp:anchor>
          </w:drawing>
        </mc:Choice>
        <mc:Fallback>
          <w:pict>
            <v:rect id="Frame 2" o:spid="_x0000_s1026" o:spt="1" style="position:absolute;left:0pt;margin-top:0.05pt;height:13.95pt;width:11.55pt;mso-position-horizontal:center;mso-position-horizontal-relative:margin;z-index:-251655168;mso-width-relative:page;mso-height-relative:page;" filled="f" stroked="f" coordsize="21600,21600" o:allowincell="f" o:gfxdata="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GfnVdMA&#10;AAADAQAADwAAAAAAAAABACAAAAAiAAAAZHJzL2Rvd25yZXYueG1sUEsBAhQAFAAAAAgAh07iQJ0R&#10;FOyyAQAAiwMAAA4AAAAAAAAAAQAgAAAAIgEAAGRycy9lMm9Eb2MueG1sUEsFBgAAAAAGAAYAWQEA&#10;AEYFAAAAAA==&#10;">
              <v:fill on="f" focussize="0,0"/>
              <v:stroke on="f" weight="0pt"/>
              <v:imagedata o:title=""/>
              <o:lock v:ext="edit" aspectratio="f"/>
              <v:textbox inset="0.02mm,0.02mm,0.02mm,0.02mm" style="mso-fit-shape-to-text:t;">
                <w:txbxContent>
                  <w:p>
                    <w:pPr>
                      <w:pStyle w:val="11"/>
                      <w:rPr>
                        <w:color w:val="000000"/>
                      </w:rPr>
                    </w:pPr>
                    <w:r>
                      <w:rPr>
                        <w:color w:val="000000"/>
                      </w:rPr>
                      <w:fldChar w:fldCharType="begin"/>
                    </w:r>
                    <w:r>
                      <w:rPr>
                        <w:color w:val="000000"/>
                      </w:rPr>
                      <w:instrText xml:space="preserve"> PAGE </w:instrText>
                    </w:r>
                    <w:r>
                      <w:rPr>
                        <w:color w:val="000000"/>
                      </w:rPr>
                      <w:fldChar w:fldCharType="separate"/>
                    </w:r>
                    <w:r>
                      <w:rPr>
                        <w:color w:val="000000"/>
                      </w:rPr>
                      <w:t>0</w:t>
                    </w:r>
                    <w:r>
                      <w:rPr>
                        <w:color w:val="000000"/>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0" distR="0" simplePos="0" relativeHeight="251661312" behindDoc="1" locked="0" layoutInCell="0" allowOverlap="1">
              <wp:simplePos x="0" y="0"/>
              <wp:positionH relativeFrom="margin">
                <wp:align>center</wp:align>
              </wp:positionH>
              <wp:positionV relativeFrom="paragraph">
                <wp:posOffset>635</wp:posOffset>
              </wp:positionV>
              <wp:extent cx="146685" cy="175895"/>
              <wp:effectExtent l="0" t="0" r="0" b="0"/>
              <wp:wrapNone/>
              <wp:docPr id="25" name="Frame3"/>
              <wp:cNvGraphicFramePr/>
              <a:graphic xmlns:a="http://schemas.openxmlformats.org/drawingml/2006/main">
                <a:graphicData uri="http://schemas.microsoft.com/office/word/2010/wordprocessingShape">
                  <wps:wsp>
                    <wps:cNvSpPr/>
                    <wps:spPr>
                      <a:xfrm>
                        <a:off x="0" y="0"/>
                        <a:ext cx="146520" cy="176040"/>
                      </a:xfrm>
                      <a:prstGeom prst="rect">
                        <a:avLst/>
                      </a:prstGeom>
                      <a:noFill/>
                      <a:ln w="0">
                        <a:noFill/>
                      </a:ln>
                    </wps:spPr>
                    <wps:style>
                      <a:lnRef idx="0">
                        <a:scrgbClr r="0" g="0" b="0"/>
                      </a:lnRef>
                      <a:fillRef idx="0">
                        <a:scrgbClr r="0" g="0" b="0"/>
                      </a:fillRef>
                      <a:effectRef idx="0">
                        <a:scrgbClr r="0" g="0" b="0"/>
                      </a:effectRef>
                      <a:fontRef idx="minor"/>
                    </wps:style>
                    <wps:txbx>
                      <w:txbxContent>
                        <w:p>
                          <w:pPr>
                            <w:pStyle w:val="11"/>
                            <w:rPr>
                              <w:color w:val="000000"/>
                            </w:rPr>
                          </w:pPr>
                          <w:r>
                            <w:rPr>
                              <w:color w:val="000000"/>
                            </w:rPr>
                            <w:fldChar w:fldCharType="begin"/>
                          </w:r>
                          <w:r>
                            <w:rPr>
                              <w:color w:val="000000"/>
                            </w:rPr>
                            <w:instrText xml:space="preserve"> PAGE </w:instrText>
                          </w:r>
                          <w:r>
                            <w:rPr>
                              <w:color w:val="000000"/>
                            </w:rPr>
                            <w:fldChar w:fldCharType="separate"/>
                          </w:r>
                          <w:r>
                            <w:rPr>
                              <w:color w:val="000000"/>
                            </w:rPr>
                            <w:t>20</w:t>
                          </w:r>
                          <w:r>
                            <w:rPr>
                              <w:color w:val="000000"/>
                            </w:rPr>
                            <w:fldChar w:fldCharType="end"/>
                          </w:r>
                        </w:p>
                      </w:txbxContent>
                    </wps:txbx>
                    <wps:bodyPr lIns="720" tIns="720" rIns="720" bIns="720" anchor="t">
                      <a:spAutoFit/>
                    </wps:bodyPr>
                  </wps:wsp>
                </a:graphicData>
              </a:graphic>
            </wp:anchor>
          </w:drawing>
        </mc:Choice>
        <mc:Fallback>
          <w:pict>
            <v:rect id="Frame3" o:spid="_x0000_s1026" o:spt="1" style="position:absolute;left:0pt;margin-top:0.05pt;height:13.85pt;width:11.55pt;mso-position-horizontal:center;mso-position-horizontal-relative:margin;z-index:-251655168;mso-width-relative:page;mso-height-relative:page;" filled="f" stroked="f" coordsize="21600,21600" o:allowincell="f" o:gfxdata="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QK2SDU&#10;AAAAAwEAAA8AAAAAAAAAAQAgAAAAIgAAAGRycy9kb3ducmV2LnhtbFBLAQIUABQAAAAIAIdO4kCV&#10;n5g+sgEAAIoDAAAOAAAAAAAAAAEAIAAAACMBAABkcnMvZTJvRG9jLnhtbFBLBQYAAAAABgAGAFkB&#10;AABHBQAAAAA=&#10;">
              <v:fill on="f" focussize="0,0"/>
              <v:stroke on="f" weight="0pt"/>
              <v:imagedata o:title=""/>
              <o:lock v:ext="edit" aspectratio="f"/>
              <v:textbox inset="0.02mm,0.02mm,0.02mm,0.02mm" style="mso-fit-shape-to-text:t;">
                <w:txbxContent>
                  <w:p>
                    <w:pPr>
                      <w:pStyle w:val="11"/>
                      <w:rPr>
                        <w:color w:val="000000"/>
                      </w:rPr>
                    </w:pPr>
                    <w:r>
                      <w:rPr>
                        <w:color w:val="000000"/>
                      </w:rPr>
                      <w:fldChar w:fldCharType="begin"/>
                    </w:r>
                    <w:r>
                      <w:rPr>
                        <w:color w:val="000000"/>
                      </w:rPr>
                      <w:instrText xml:space="preserve"> PAGE </w:instrText>
                    </w:r>
                    <w:r>
                      <w:rPr>
                        <w:color w:val="000000"/>
                      </w:rPr>
                      <w:fldChar w:fldCharType="separate"/>
                    </w:r>
                    <w:r>
                      <w:rPr>
                        <w:color w:val="000000"/>
                      </w:rPr>
                      <w:t>20</w:t>
                    </w:r>
                    <w:r>
                      <w:rPr>
                        <w:color w:val="000000"/>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thickThinLargeGap" w:color="C0C0C0" w:sz="18" w:space="0"/>
      </w:pBdr>
    </w:pPr>
    <w:r>
      <w:rPr>
        <w:lang w:val="sr-Latn-ME"/>
      </w:rPr>
      <w:t>J.P. SPORTSKI CENTAR NIKŠIĆ</w:t>
    </w:r>
    <w:r>
      <w:t xml:space="preserve">          </w:t>
    </w:r>
    <w:r>
      <w:rPr>
        <w:lang w:val="sr-Latn-ME"/>
      </w:rPr>
      <w:t xml:space="preserve">                                                         IZVJEŠTAJ O RADU ZA 2023. GODINU</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thickThinLargeGap" w:color="C0C0C0" w:sz="18" w:space="0"/>
      </w:pBdr>
    </w:pPr>
    <w:r>
      <w:rPr>
        <w:lang w:val="sr-Latn-ME"/>
      </w:rPr>
      <w:t>J.P. SPORTSKI CENTAR NIKŠIĆ</w:t>
    </w:r>
    <w:r>
      <w:t xml:space="preserve">          </w:t>
    </w:r>
    <w:r>
      <w:rPr>
        <w:lang w:val="sr-Latn-ME"/>
      </w:rPr>
      <w:t xml:space="preserve">                                                         IZVJEŠTAJ O RADU ZA 2023. GODINU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354AF6"/>
    <w:multiLevelType w:val="multilevel"/>
    <w:tmpl w:val="02354AF6"/>
    <w:lvl w:ilvl="0" w:tentative="0">
      <w:start w:val="1"/>
      <w:numFmt w:val="bullet"/>
      <w:lvlText w:val=""/>
      <w:lvlJc w:val="left"/>
      <w:pPr>
        <w:tabs>
          <w:tab w:val="left" w:pos="0"/>
        </w:tabs>
        <w:ind w:left="420" w:hanging="420"/>
      </w:pPr>
      <w:rPr>
        <w:rFonts w:hint="default" w:ascii="Wingdings" w:hAnsi="Wingdings" w:cs="Wingdings"/>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1">
    <w:nsid w:val="21074B10"/>
    <w:multiLevelType w:val="multilevel"/>
    <w:tmpl w:val="21074B10"/>
    <w:lvl w:ilvl="0" w:tentative="0">
      <w:start w:val="1"/>
      <w:numFmt w:val="bullet"/>
      <w:lvlText w:val=""/>
      <w:lvlJc w:val="left"/>
      <w:pPr>
        <w:tabs>
          <w:tab w:val="left" w:pos="0"/>
        </w:tabs>
        <w:ind w:left="420" w:hanging="420"/>
      </w:pPr>
      <w:rPr>
        <w:rFonts w:hint="default" w:ascii="Wingdings" w:hAnsi="Wingdings" w:cs="Wingdings"/>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2">
    <w:nsid w:val="2D5E2865"/>
    <w:multiLevelType w:val="multilevel"/>
    <w:tmpl w:val="2D5E2865"/>
    <w:lvl w:ilvl="0" w:tentative="0">
      <w:start w:val="1"/>
      <w:numFmt w:val="none"/>
      <w:pStyle w:val="2"/>
      <w:suff w:val="nothing"/>
      <w:lvlText w:val=""/>
      <w:lvlJc w:val="left"/>
      <w:pPr>
        <w:tabs>
          <w:tab w:val="left" w:pos="0"/>
        </w:tabs>
        <w:ind w:left="0" w:firstLine="0"/>
      </w:pPr>
    </w:lvl>
    <w:lvl w:ilvl="1" w:tentative="0">
      <w:start w:val="1"/>
      <w:numFmt w:val="none"/>
      <w:pStyle w:val="3"/>
      <w:suff w:val="nothing"/>
      <w:lvlText w:val=""/>
      <w:lvlJc w:val="left"/>
      <w:pPr>
        <w:tabs>
          <w:tab w:val="left" w:pos="0"/>
        </w:tabs>
        <w:ind w:left="0" w:firstLine="0"/>
      </w:pPr>
    </w:lvl>
    <w:lvl w:ilvl="2" w:tentative="0">
      <w:start w:val="1"/>
      <w:numFmt w:val="none"/>
      <w:pStyle w:val="4"/>
      <w:suff w:val="nothing"/>
      <w:lvlText w:val=""/>
      <w:lvlJc w:val="left"/>
      <w:pPr>
        <w:tabs>
          <w:tab w:val="left" w:pos="0"/>
        </w:tabs>
        <w:ind w:left="0" w:firstLine="0"/>
      </w:pPr>
    </w:lvl>
    <w:lvl w:ilvl="3" w:tentative="0">
      <w:start w:val="1"/>
      <w:numFmt w:val="none"/>
      <w:pStyle w:val="5"/>
      <w:suff w:val="nothing"/>
      <w:lvlText w:val=""/>
      <w:lvlJc w:val="left"/>
      <w:pPr>
        <w:tabs>
          <w:tab w:val="left" w:pos="0"/>
        </w:tabs>
        <w:ind w:left="0" w:firstLine="0"/>
      </w:pPr>
    </w:lvl>
    <w:lvl w:ilvl="4" w:tentative="0">
      <w:start w:val="1"/>
      <w:numFmt w:val="none"/>
      <w:suff w:val="nothing"/>
      <w:lvlText w:val=""/>
      <w:lvlJc w:val="left"/>
      <w:pPr>
        <w:tabs>
          <w:tab w:val="left" w:pos="0"/>
        </w:tabs>
        <w:ind w:left="0" w:firstLine="0"/>
      </w:p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3">
    <w:nsid w:val="372E247E"/>
    <w:multiLevelType w:val="multilevel"/>
    <w:tmpl w:val="372E247E"/>
    <w:lvl w:ilvl="0" w:tentative="0">
      <w:start w:val="3"/>
      <w:numFmt w:val="decimal"/>
      <w:suff w:val="space"/>
      <w:lvlText w:val="%1."/>
      <w:lvlJc w:val="left"/>
      <w:pPr>
        <w:tabs>
          <w:tab w:val="left" w:pos="0"/>
        </w:tabs>
        <w:ind w:left="0" w:firstLine="0"/>
      </w:p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4">
    <w:nsid w:val="52F6784C"/>
    <w:multiLevelType w:val="multilevel"/>
    <w:tmpl w:val="52F6784C"/>
    <w:lvl w:ilvl="0" w:tentative="0">
      <w:start w:val="1"/>
      <w:numFmt w:val="decimal"/>
      <w:suff w:val="space"/>
      <w:lvlText w:val="%1."/>
      <w:lvlJc w:val="left"/>
      <w:pPr>
        <w:tabs>
          <w:tab w:val="left" w:pos="0"/>
        </w:tabs>
        <w:ind w:left="0" w:firstLine="0"/>
      </w:p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5">
    <w:nsid w:val="60240BB9"/>
    <w:multiLevelType w:val="multilevel"/>
    <w:tmpl w:val="60240BB9"/>
    <w:lvl w:ilvl="0" w:tentative="0">
      <w:start w:val="1"/>
      <w:numFmt w:val="bullet"/>
      <w:lvlText w:val=""/>
      <w:lvlJc w:val="left"/>
      <w:pPr>
        <w:tabs>
          <w:tab w:val="left" w:pos="0"/>
        </w:tabs>
        <w:ind w:left="420" w:hanging="420"/>
      </w:pPr>
      <w:rPr>
        <w:rFonts w:hint="default" w:ascii="Wingdings" w:hAnsi="Wingdings" w:cs="Wingdings"/>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6">
    <w:nsid w:val="7C2F6361"/>
    <w:multiLevelType w:val="multilevel"/>
    <w:tmpl w:val="7C2F6361"/>
    <w:lvl w:ilvl="0" w:tentative="0">
      <w:start w:val="1"/>
      <w:numFmt w:val="bullet"/>
      <w:lvlText w:val=""/>
      <w:lvlJc w:val="left"/>
      <w:pPr>
        <w:tabs>
          <w:tab w:val="left" w:pos="0"/>
        </w:tabs>
        <w:ind w:left="420" w:hanging="420"/>
      </w:pPr>
      <w:rPr>
        <w:rFonts w:hint="default" w:ascii="Wingdings" w:hAnsi="Wingdings" w:cs="Wingdings"/>
      </w:r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num w:numId="1">
    <w:abstractNumId w:val="2"/>
  </w:num>
  <w:num w:numId="2">
    <w:abstractNumId w:val="4"/>
  </w:num>
  <w:num w:numId="3">
    <w:abstractNumId w:val="3"/>
  </w:num>
  <w:num w:numId="4">
    <w:abstractNumId w:val="0"/>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AD0"/>
    <w:rsid w:val="00617AD0"/>
    <w:rsid w:val="00E55120"/>
    <w:rsid w:val="3401723A"/>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suppressAutoHyphens/>
    </w:pPr>
    <w:rPr>
      <w:rFonts w:ascii="Lucida Sans Unicode" w:hAnsi="Lucida Sans Unicode" w:eastAsia="Lucida Sans Unicode" w:cs="Lucida Sans Unicode"/>
      <w:sz w:val="22"/>
      <w:szCs w:val="22"/>
      <w:lang w:val="en-US" w:eastAsia="en-US" w:bidi="ar-SA"/>
    </w:rPr>
  </w:style>
  <w:style w:type="paragraph" w:styleId="2">
    <w:name w:val="heading 1"/>
    <w:basedOn w:val="1"/>
    <w:next w:val="1"/>
    <w:qFormat/>
    <w:uiPriority w:val="0"/>
    <w:pPr>
      <w:pageBreakBefore/>
      <w:numPr>
        <w:ilvl w:val="0"/>
        <w:numId w:val="1"/>
      </w:numPr>
      <w:spacing w:before="480" w:after="120"/>
      <w:outlineLvl w:val="0"/>
    </w:pPr>
    <w:rPr>
      <w:rFonts w:ascii="Cambria" w:hAnsi="Cambria" w:eastAsia="SimSun" w:cs="Times New Roman"/>
      <w:b/>
      <w:bCs/>
      <w:caps/>
      <w:sz w:val="48"/>
    </w:rPr>
  </w:style>
  <w:style w:type="paragraph" w:styleId="3">
    <w:name w:val="heading 2"/>
    <w:basedOn w:val="1"/>
    <w:next w:val="1"/>
    <w:qFormat/>
    <w:uiPriority w:val="0"/>
    <w:pPr>
      <w:keepNext/>
      <w:keepLines/>
      <w:numPr>
        <w:ilvl w:val="1"/>
        <w:numId w:val="1"/>
      </w:numPr>
      <w:spacing w:before="240" w:after="160"/>
      <w:outlineLvl w:val="1"/>
    </w:pPr>
    <w:rPr>
      <w:rFonts w:ascii="Cambria" w:hAnsi="Cambria" w:eastAsia="SimSun" w:cs="Times New Roman"/>
      <w:b/>
      <w:bCs/>
      <w:sz w:val="28"/>
    </w:rPr>
  </w:style>
  <w:style w:type="paragraph" w:styleId="4">
    <w:name w:val="heading 3"/>
    <w:basedOn w:val="1"/>
    <w:next w:val="1"/>
    <w:qFormat/>
    <w:uiPriority w:val="0"/>
    <w:pPr>
      <w:keepNext/>
      <w:keepLines/>
      <w:numPr>
        <w:ilvl w:val="2"/>
        <w:numId w:val="1"/>
      </w:numPr>
      <w:spacing w:after="60"/>
      <w:ind w:left="29" w:right="29"/>
      <w:jc w:val="right"/>
      <w:outlineLvl w:val="2"/>
    </w:pPr>
    <w:rPr>
      <w:rFonts w:ascii="Cambria" w:hAnsi="Cambria" w:eastAsia="SimSun" w:cs="Times New Roman"/>
      <w:b/>
      <w:color w:val="366091"/>
      <w:sz w:val="36"/>
      <w:szCs w:val="24"/>
    </w:rPr>
  </w:style>
  <w:style w:type="paragraph" w:styleId="5">
    <w:name w:val="heading 4"/>
    <w:basedOn w:val="1"/>
    <w:next w:val="1"/>
    <w:qFormat/>
    <w:uiPriority w:val="0"/>
    <w:pPr>
      <w:keepNext/>
      <w:keepLines/>
      <w:numPr>
        <w:ilvl w:val="3"/>
        <w:numId w:val="1"/>
      </w:numPr>
      <w:spacing w:before="280" w:after="290" w:line="374" w:lineRule="auto"/>
      <w:outlineLvl w:val="3"/>
    </w:pPr>
    <w:rPr>
      <w:b/>
      <w:bCs/>
      <w:sz w:val="28"/>
      <w:szCs w:val="28"/>
    </w:rPr>
  </w:style>
  <w:style w:type="character" w:default="1" w:styleId="6">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8">
    <w:name w:val="Balloon Text"/>
    <w:basedOn w:val="1"/>
    <w:link w:val="26"/>
    <w:semiHidden/>
    <w:unhideWhenUsed/>
    <w:qFormat/>
    <w:uiPriority w:val="99"/>
    <w:rPr>
      <w:rFonts w:ascii="Tahoma" w:hAnsi="Tahoma" w:cs="Tahoma"/>
      <w:sz w:val="16"/>
      <w:szCs w:val="16"/>
    </w:rPr>
  </w:style>
  <w:style w:type="paragraph" w:styleId="9">
    <w:name w:val="Body Text"/>
    <w:basedOn w:val="1"/>
    <w:qFormat/>
    <w:uiPriority w:val="1"/>
    <w:rPr>
      <w:sz w:val="39"/>
      <w:szCs w:val="39"/>
    </w:rPr>
  </w:style>
  <w:style w:type="paragraph" w:styleId="10">
    <w:name w:val="caption"/>
    <w:basedOn w:val="1"/>
    <w:qFormat/>
    <w:uiPriority w:val="0"/>
    <w:pPr>
      <w:suppressLineNumbers/>
      <w:spacing w:before="120" w:after="120"/>
    </w:pPr>
    <w:rPr>
      <w:rFonts w:cs="Mangal"/>
      <w:i/>
      <w:iCs/>
      <w:sz w:val="24"/>
      <w:szCs w:val="24"/>
    </w:rPr>
  </w:style>
  <w:style w:type="paragraph" w:styleId="11">
    <w:name w:val="footer"/>
    <w:basedOn w:val="1"/>
    <w:qFormat/>
    <w:uiPriority w:val="0"/>
    <w:pPr>
      <w:tabs>
        <w:tab w:val="center" w:pos="4153"/>
        <w:tab w:val="right" w:pos="8306"/>
      </w:tabs>
      <w:snapToGrid w:val="0"/>
    </w:pPr>
    <w:rPr>
      <w:sz w:val="18"/>
      <w:szCs w:val="18"/>
    </w:rPr>
  </w:style>
  <w:style w:type="paragraph" w:styleId="12">
    <w:name w:val="header"/>
    <w:basedOn w:val="1"/>
    <w:qFormat/>
    <w:uiPriority w:val="0"/>
    <w:pPr>
      <w:tabs>
        <w:tab w:val="center" w:pos="4153"/>
        <w:tab w:val="right" w:pos="8306"/>
      </w:tabs>
      <w:snapToGrid w:val="0"/>
    </w:pPr>
    <w:rPr>
      <w:sz w:val="18"/>
      <w:szCs w:val="18"/>
    </w:rPr>
  </w:style>
  <w:style w:type="character" w:styleId="13">
    <w:name w:val="Hyperlink"/>
    <w:uiPriority w:val="99"/>
    <w:rPr>
      <w:color w:val="000080"/>
      <w:u w:val="single"/>
    </w:rPr>
  </w:style>
  <w:style w:type="paragraph" w:styleId="14">
    <w:name w:val="List"/>
    <w:basedOn w:val="9"/>
    <w:qFormat/>
    <w:uiPriority w:val="0"/>
    <w:rPr>
      <w:rFonts w:cs="Mangal"/>
    </w:rPr>
  </w:style>
  <w:style w:type="paragraph" w:styleId="15">
    <w:name w:val="Title"/>
    <w:basedOn w:val="1"/>
    <w:qFormat/>
    <w:uiPriority w:val="1"/>
    <w:pPr>
      <w:spacing w:before="66"/>
      <w:ind w:left="110"/>
    </w:pPr>
    <w:rPr>
      <w:rFonts w:ascii="Arial" w:hAnsi="Arial" w:eastAsia="Arial" w:cs="Arial"/>
      <w:b/>
      <w:bCs/>
      <w:sz w:val="122"/>
      <w:szCs w:val="122"/>
    </w:rPr>
  </w:style>
  <w:style w:type="paragraph" w:styleId="16">
    <w:name w:val="toc 1"/>
    <w:basedOn w:val="1"/>
    <w:next w:val="1"/>
    <w:qFormat/>
    <w:uiPriority w:val="39"/>
    <w:pPr>
      <w:tabs>
        <w:tab w:val="right" w:leader="underscore" w:pos="8424"/>
      </w:tabs>
      <w:spacing w:before="40" w:after="100" w:line="288" w:lineRule="auto"/>
    </w:pPr>
    <w:rPr>
      <w:kern w:val="2"/>
    </w:rPr>
  </w:style>
  <w:style w:type="paragraph" w:styleId="17">
    <w:name w:val="toc 2"/>
    <w:basedOn w:val="1"/>
    <w:next w:val="1"/>
    <w:uiPriority w:val="39"/>
    <w:pPr>
      <w:spacing w:after="100"/>
      <w:ind w:left="240"/>
    </w:pPr>
  </w:style>
  <w:style w:type="character" w:customStyle="1" w:styleId="18">
    <w:name w:val="Index Link"/>
    <w:qFormat/>
    <w:uiPriority w:val="0"/>
  </w:style>
  <w:style w:type="character" w:customStyle="1" w:styleId="19">
    <w:name w:val="WW8Num1z0"/>
    <w:qFormat/>
    <w:uiPriority w:val="0"/>
    <w:rPr>
      <w:rFonts w:ascii="Wingdings" w:hAnsi="Wingdings" w:cs="Wingdings"/>
    </w:rPr>
  </w:style>
  <w:style w:type="character" w:customStyle="1" w:styleId="20">
    <w:name w:val="WW8Num8z0"/>
    <w:qFormat/>
    <w:uiPriority w:val="0"/>
    <w:rPr>
      <w:rFonts w:ascii="Wingdings" w:hAnsi="Wingdings" w:cs="Wingdings"/>
    </w:rPr>
  </w:style>
  <w:style w:type="character" w:customStyle="1" w:styleId="21">
    <w:name w:val="WW8Num9z0"/>
    <w:qFormat/>
    <w:uiPriority w:val="0"/>
    <w:rPr>
      <w:rFonts w:ascii="Wingdings" w:hAnsi="Wingdings" w:cs="Wingdings"/>
    </w:rPr>
  </w:style>
  <w:style w:type="character" w:customStyle="1" w:styleId="22">
    <w:name w:val="WW8Num2z0"/>
    <w:qFormat/>
    <w:uiPriority w:val="0"/>
    <w:rPr>
      <w:rFonts w:ascii="Wingdings" w:hAnsi="Wingdings" w:cs="Wingdings"/>
    </w:rPr>
  </w:style>
  <w:style w:type="character" w:customStyle="1" w:styleId="23">
    <w:name w:val="WW8Num10z0"/>
    <w:qFormat/>
    <w:uiPriority w:val="0"/>
    <w:rPr>
      <w:rFonts w:ascii="Wingdings" w:hAnsi="Wingdings" w:cs="Wingdings"/>
    </w:rPr>
  </w:style>
  <w:style w:type="character" w:customStyle="1" w:styleId="24">
    <w:name w:val="WW8Num7z0"/>
    <w:qFormat/>
    <w:uiPriority w:val="0"/>
    <w:rPr>
      <w:rFonts w:ascii="Wingdings" w:hAnsi="Wingdings" w:cs="Wingdings"/>
    </w:rPr>
  </w:style>
  <w:style w:type="character" w:customStyle="1" w:styleId="25">
    <w:name w:val="WW8Num4z0"/>
    <w:qFormat/>
    <w:uiPriority w:val="0"/>
    <w:rPr>
      <w:rFonts w:ascii="Wingdings" w:hAnsi="Wingdings" w:cs="Wingdings"/>
    </w:rPr>
  </w:style>
  <w:style w:type="character" w:customStyle="1" w:styleId="26">
    <w:name w:val="Balloon Text Char"/>
    <w:basedOn w:val="6"/>
    <w:link w:val="8"/>
    <w:semiHidden/>
    <w:qFormat/>
    <w:uiPriority w:val="99"/>
    <w:rPr>
      <w:rFonts w:ascii="Tahoma" w:hAnsi="Tahoma" w:eastAsia="Lucida Sans Unicode" w:cs="Tahoma"/>
      <w:sz w:val="16"/>
      <w:szCs w:val="16"/>
    </w:rPr>
  </w:style>
  <w:style w:type="paragraph" w:customStyle="1" w:styleId="27">
    <w:name w:val="Heading"/>
    <w:basedOn w:val="1"/>
    <w:next w:val="9"/>
    <w:qFormat/>
    <w:uiPriority w:val="0"/>
    <w:pPr>
      <w:keepNext/>
      <w:spacing w:before="240" w:after="120"/>
    </w:pPr>
    <w:rPr>
      <w:rFonts w:ascii="Liberation Sans" w:hAnsi="Liberation Sans" w:eastAsia="Microsoft YaHei" w:cs="Mangal"/>
      <w:sz w:val="28"/>
      <w:szCs w:val="28"/>
    </w:rPr>
  </w:style>
  <w:style w:type="paragraph" w:customStyle="1" w:styleId="28">
    <w:name w:val="Index"/>
    <w:basedOn w:val="1"/>
    <w:qFormat/>
    <w:uiPriority w:val="0"/>
    <w:pPr>
      <w:suppressLineNumbers/>
    </w:pPr>
    <w:rPr>
      <w:rFonts w:cs="Mangal"/>
    </w:rPr>
  </w:style>
  <w:style w:type="paragraph" w:customStyle="1" w:styleId="29">
    <w:name w:val="caption1"/>
    <w:basedOn w:val="1"/>
    <w:qFormat/>
    <w:uiPriority w:val="0"/>
    <w:pPr>
      <w:suppressLineNumbers/>
      <w:spacing w:before="120" w:after="120"/>
    </w:pPr>
    <w:rPr>
      <w:rFonts w:cs="Mangal"/>
      <w:i/>
      <w:iCs/>
      <w:sz w:val="24"/>
      <w:szCs w:val="24"/>
    </w:rPr>
  </w:style>
  <w:style w:type="paragraph" w:styleId="30">
    <w:name w:val="List Paragraph"/>
    <w:basedOn w:val="1"/>
    <w:qFormat/>
    <w:uiPriority w:val="1"/>
  </w:style>
  <w:style w:type="paragraph" w:customStyle="1" w:styleId="31">
    <w:name w:val="Table Paragraph"/>
    <w:basedOn w:val="1"/>
    <w:qFormat/>
    <w:uiPriority w:val="1"/>
  </w:style>
  <w:style w:type="paragraph" w:customStyle="1" w:styleId="32">
    <w:name w:val="Header and Footer"/>
    <w:basedOn w:val="1"/>
    <w:qFormat/>
    <w:uiPriority w:val="0"/>
  </w:style>
  <w:style w:type="paragraph" w:customStyle="1" w:styleId="33">
    <w:name w:val="Frame Contents"/>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TEMAOS</Company>
  <Pages>21</Pages>
  <Words>4073</Words>
  <Characters>23221</Characters>
  <Lines>193</Lines>
  <Paragraphs>54</Paragraphs>
  <TotalTime>548</TotalTime>
  <ScaleCrop>false</ScaleCrop>
  <LinksUpToDate>false</LinksUpToDate>
  <CharactersWithSpaces>27240</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2024-02-28T19:02:00Z</dcterms:created>
  <dc:creator>Sportski centar Niksic</dc:creator>
  <cp:keywords>DAF-GggATW4 BAFbhE8LfGY</cp:keywords>
  <cp:lastModifiedBy>Win 10</cp:lastModifiedBy>
  <cp:lastPrinted>2024-02-29T13:36:00Z</cp:lastPrinted>
  <dcterms:modified xsi:type="dcterms:W3CDTF">2024-03-03T10:24:49Z</dcterms:modified>
  <dc:title>White Blue Corporate Annual Report</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2024-02-28T00:00:00Z</vt:filetime>
  </property>
  <property fmtid="{D5CDD505-2E9C-101B-9397-08002B2CF9AE}" pid="3" name="Creator">
    <vt:lpwstr>Canva</vt:lpwstr>
  </property>
  <property fmtid="{D5CDD505-2E9C-101B-9397-08002B2CF9AE}" pid="4" name="LastSaved">
    <vt:filetime>2024-02-28T00:00:00Z</vt:filetime>
  </property>
  <property fmtid="{D5CDD505-2E9C-101B-9397-08002B2CF9AE}" pid="5" name="KSOProductBuildVer">
    <vt:lpwstr>1033-12.2.0.13489</vt:lpwstr>
  </property>
  <property fmtid="{D5CDD505-2E9C-101B-9397-08002B2CF9AE}" pid="6" name="ICV">
    <vt:lpwstr>15B6E42229C64C568FFD476DABC7C16B_13</vt:lpwstr>
  </property>
</Properties>
</file>